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Racial and Ethnic Disparities in Retirement Outcomes Impacts of Outreach</w:t>
      </w:r>
    </w:p>
    <w:p>
      <w:pPr>
        <w:jc w:val="center"/>
      </w:pPr>
      <w:r>
        <w:rPr>
          <w:b/>
        </w:rPr>
        <w:t>Author:</w:t>
      </w:r>
      <w:r>
        <w:t>Angelino Viceisza, Amaia Calhoun, Gabriella J.O. Lee</w:t>
      </w:r>
    </w:p>
    <w:p>
      <w:pPr>
        <w:ind w:firstLine="240"/>
        <w:jc w:val="both"/>
      </w:pPr>
      <w: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r>
    </w:p>
    <w:p/>
    <w:p>
      <w:pPr>
        <w:jc w:val="left"/>
      </w:pPr>
      <w:r>
        <w:rPr>
          <w:b/>
        </w:rPr>
        <w:t>Url:</w:t>
        <w:br/>
      </w:r>
      <w:hyperlink r:id="rId9">
        <w:r>
          <w:rPr>
            <w:color w:val="0000FF"/>
            <w:u w:val="single"/>
          </w:rPr>
          <w:t>https://www.nber.org/papers/w30456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