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Real-Time Forward-Looking Skewness over the Business Cycle</w:t>
      </w:r>
    </w:p>
    <w:p>
      <w:pPr>
        <w:jc w:val="center"/>
      </w:pPr>
      <w:r>
        <w:t>Author:Ian Dew-Becker</w:t>
      </w:r>
    </w:p>
    <w:p>
      <w:pPr>
        <w:ind w:firstLine="200"/>
        <w:jc w:val="both"/>
      </w:pPr>
      <w:r>
        <w:t>This paper measures option-implied skewness for individual firms and the overall stock market between 1980 and 2021, giving real-time measures of conditional micro and macro skewness. There are three key results: 1. Micro skewness is significantly procyclical, while macro skewness is acyclical; 2. Micro skewness leads the business cycle and is strongly linked to credit spreads, suggesting one potential causal channel; 3. Micro skewness is significantly, and not mechanically, correlated with macro volatility, implying that there is a common shock driving them both, which is also linked to the business cycle.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https://www.nber.org/papers/w30478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https://www.nber.org/system/files/working_papers/w30478/w30478.pdf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78" TargetMode="External"/><Relationship Id="rId10" Type="http://schemas.openxmlformats.org/officeDocument/2006/relationships/hyperlink" Target="https://www.nber.org/system/files/working_papers/w30478/w3047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