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Rebel Governance and Development The Persistent Effects of Guerrillas in El Salvador</w:t>
      </w:r>
    </w:p>
    <w:p>
      <w:r>
        <w:t>Author:Antonella Bandiera, Lelys I. Dinarte Diaz, Juan Miguel Jimenez, Sandra V. Rozo, Maria Micaela Sviatschi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How does rebel governance affect long-term development? We investigate the economic, social, and political consequences of temporary territorial control by guerrillas during the Salvadoran Civil War. During this period, these guerrillas displaced state authorities and promoted the creation of self-governing institutions that embodied local values and openly distrusted the state and elites. Using a spatial regression discontinuity design, we show that areas once under guerrilla control have experienced worse economic outcomes over the last 20 years compared with adjacent areas then controlled by the formal state. Our results suggest that community institutions in guerrilla-controlled areas led to enduring land fragmentation and disengagement with the government. We argue that when non-state actors develop alternative governance institutions, they can lead to negative development effects through lasting norms of distrust of out-groups.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8/w30488.pdf" TargetMode="External"/><Relationship Id="rId10" Type="http://schemas.openxmlformats.org/officeDocument/2006/relationships/hyperlink" Target="https://www.nber.org/papers/w30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