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Team Incentives and Lower Ability Workers An Experimental Study on Real-Effort Tasks</w:t>
      </w:r>
    </w:p>
    <w:p>
      <w:pPr>
        <w:jc w:val="center"/>
      </w:pPr>
      <w:r>
        <w:rPr>
          <w:b/>
        </w:rPr>
        <w:t>Author:</w:t>
      </w:r>
      <w:r>
        <w:t>Richard B. Freeman, Xiaofei Pan, Xiaolan Yang, Maoliang Ye</w:t>
      </w:r>
    </w:p>
    <w:p>
      <w:pPr>
        <w:ind w:firstLine="240"/>
        <w:jc w:val="both"/>
      </w:pPr>
      <w: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r>
    </w:p>
    <w:p/>
    <w:p>
      <w:pPr>
        <w:jc w:val="left"/>
      </w:pPr>
      <w:r>
        <w:rPr>
          <w:b/>
        </w:rPr>
        <w:t>Url:</w:t>
        <w:br/>
      </w:r>
      <w:hyperlink r:id="rId9">
        <w:r>
          <w:rPr>
            <w:color w:val="0000FF"/>
            <w:u w:val="single"/>
          </w:rPr>
          <w:t>https://www.nber.org/papers/w30427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