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Impacts of Covid-19 Illnesses on Workers</w:t>
      </w:r>
    </w:p>
    <w:p>
      <w:pPr>
        <w:jc w:val="center"/>
      </w:pPr>
      <w:r>
        <w:rPr>
          <w:b/>
        </w:rPr>
        <w:t>Author:</w:t>
      </w:r>
      <w:r>
        <w:t>Gopi Shah Goda, Evan J. Soltas</w:t>
      </w:r>
    </w:p>
    <w:p>
      <w:pPr>
        <w:ind w:firstLine="240"/>
        <w:jc w:val="both"/>
      </w:pPr>
      <w:r>
        <w:t>We show that Covid-19 illnesses persistently reduce labor supply. Using an event study, we estimate that workers with week-long Covid-19 work absences are 7 percentage points less likely to be in the labor force one year later compared to otherwise-similar workers who do not miss a week of work for health reasons. Our estimates suggest Covid-19 illnesses have reduced the U.S. labor force by approximately 500,000 people (0.2 percent of adults) and imply an average forgone earnings per Covid-19 absence of at least $9,000, about 90 percent of which reflects lost labor supply beyond the initial absence week.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https://www.nber.org/papers/w30435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