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Trade-ins and Transaction Costs in the Market for Used Business Jets</w:t>
      </w:r>
    </w:p>
    <w:p>
      <w:r>
        <w:t>Author:Charles Hodgson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</w:p>
    <w:p>
      <w:pPr>
        <w:ind w:firstLine="200"/>
      </w:pPr>
    </w:p>
    <w:p>
      <w:pPr>
        <w:ind w:firstLine="200"/>
      </w:pPr>
      <w:r>
        <w:t>Manufacturers of durable goods can encourage consumers facing transaction costs to upgrade by accepting used units as trade-ins. These “buyback schemes” increase demand for new units, but increase the supply of used units if trade-ins are resold. In this paper, I investigate the equilibrium effects of buyback schemes in the market for business jets. I find that buyback increases demand for new units by 37% at fixed prices. However, in equilibrium this increase in sales is diminished by 38% due to substitution away from new jets among first time buyers. Because of this cannibalization, offering buyback is a dominant strategy for only 3 of the 6 major firms, with 3 firms offering buyback as a best response to other firms' policies. I show that equilibrium buyback policies can change under counterfactual market structures: a simulated merger leads to a reduction in consumer welfare, 70% of which is due to a change in buyback policy.</w:t>
      </w:r>
    </w:p>
    <w:p>
      <w:pPr>
        <w:ind w:firstLine="200"/>
      </w:pPr>
    </w:p>
    <w:p>
      <w:pPr>
        <w:ind w:firstLine="20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97/w30497.pdf" TargetMode="External"/><Relationship Id="rId10" Type="http://schemas.openxmlformats.org/officeDocument/2006/relationships/hyperlink" Target="https://www.nber.org/papers/w304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