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Trade-ins and Transaction Costs in the Market for Used Business Jets</w:t>
      </w:r>
    </w:p>
    <w:p>
      <w:pPr>
        <w:jc w:val="center"/>
      </w:pPr>
      <w:r>
        <w:rPr>
          <w:b/>
        </w:rPr>
        <w:t>Author:</w:t>
      </w:r>
      <w:r>
        <w:t>Charles Hodgson</w:t>
      </w:r>
    </w:p>
    <w:p>
      <w:pPr>
        <w:ind w:firstLine="240"/>
        <w:jc w:val="both"/>
      </w:pPr>
      <w:r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firms' policies. I show that equilibrium buyback policies can change under counterfactual market structures: a simulated merger leads to a reduction in consumer welfare, 70% of which is due to a change in buyback policy.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https://www.nber.org/papers/w30497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