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Urban-Biased Growth A Macroeconomic Analysis</w:t>
      </w:r>
    </w:p>
    <w:p>
      <w:pPr>
        <w:jc w:val="center"/>
      </w:pPr>
      <w:r>
        <w:rPr>
          <w:b/>
        </w:rPr>
        <w:t>Author:</w:t>
      </w:r>
      <w:r>
        <w:t>Fabian Eckert, Sharat Ganapati, Conor Walsh</w:t>
      </w:r>
    </w:p>
    <w:p>
      <w:pPr>
        <w:ind w:firstLine="240"/>
        <w:jc w:val="both"/>
      </w:pPr>
      <w: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r>
    </w:p>
    <w:p/>
    <w:p>
      <w:pPr>
        <w:jc w:val="left"/>
      </w:pPr>
      <w:r>
        <w:rPr>
          <w:b/>
        </w:rPr>
        <w:t>Url:</w:t>
        <w:br/>
      </w:r>
      <w:hyperlink r:id="rId9">
        <w:r>
          <w:rPr>
            <w:color w:val="0000FF"/>
            <w:u w:val="single"/>
          </w:rPr>
          <w:t>https://www.nber.org/papers/w30515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