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Zoomers and Boomers Asset Prices and Intergenerational Inequality</w:t>
      </w:r>
    </w:p>
    <w:p>
      <w:pPr>
        <w:jc w:val="center"/>
      </w:pPr>
      <w:r>
        <w:rPr>
          <w:b/>
        </w:rPr>
        <w:t>Author:</w:t>
      </w:r>
      <w:r>
        <w:t>Leland Farmer, Roger Farmer</w:t>
      </w:r>
    </w:p>
    <w:p>
      <w:pPr>
        <w:ind w:firstLine="240"/>
        <w:jc w:val="both"/>
      </w:pPr>
      <w: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r>
    </w:p>
    <w:p/>
    <w:p>
      <w:pPr>
        <w:jc w:val="left"/>
      </w:pPr>
      <w:r>
        <w:rPr>
          <w:b/>
        </w:rPr>
        <w:t>Url:</w:t>
        <w:br/>
      </w:r>
      <w:hyperlink r:id="rId9">
        <w:r>
          <w:rPr>
            <w:color w:val="0000FF"/>
            <w:u w:val="single"/>
          </w:rPr>
          <w:t>https://www.nber.org/papers/w30419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