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effects of climate change on the natural rate of interest a critical survey</w:t>
      </w:r>
    </w:p>
    <w:p>
      <w:pPr>
        <w:jc w:val="center"/>
      </w:pPr>
      <w:r>
        <w:rPr>
          <w:b/>
        </w:rPr>
        <w:t>Author:</w:t>
      </w:r>
      <w:r>
        <w:t>Francesco Paolo Mongelli, Wolfgang Pointner, Jan Willem van den End</w:t>
      </w:r>
    </w:p>
    <w:p>
      <w:pPr>
        <w:ind w:firstLine="240"/>
        <w:jc w:val="both"/>
      </w:pPr>
      <w:r>
        <w:t>This survey reviews the literature about the impact of climate change on the natural rate of interest (r*), an important yardstick for monetary policy. Economic and financial developments can lower r* in scenarios with increasing climate-related damages and uncertainty that reduce productivity growth and raise precautionary savings. Instead, in scenarios that assume innovations and investments induced by transition policies, r* could be affected positively. Orderly climate policies have a pivotal role by facilitating the transition to a carbon-neutral economy and supporting a steady investment flow. We discuss the main models used to simulate the effects of climate change on r* and summarize the outcomes. The downward effects of climate change on r* can be substantial, even taking into account the high degree of uncertainty about the outcomes. Moreover, the downward pressure on r* will further challenge monetary policy in the long run, by limiting its policy space.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