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International Regulation of Crypto-asset Activities - Questions for consultation</w:t>
      </w:r>
    </w:p>
    <w:p>
      <w:pPr>
        <w:jc w:val="center"/>
      </w:pPr>
      <w:r>
        <w:rPr>
          <w:b/>
        </w:rPr>
        <w:t>Author:</w:t>
      </w:r>
      <w:r/>
    </w:p>
    <w:p/>
    <w:p>
      <w:pPr>
        <w:jc w:val="left"/>
      </w:pPr>
      <w:r>
        <w:rPr>
          <w:b/>
        </w:rPr>
        <w:t>Url:</w:t>
        <w:br/>
      </w:r>
      <w:hyperlink r:id="rId9">
        <w:r>
          <w:rPr>
            <w:color w:val="0000FF"/>
            <w:u w:val="single"/>
          </w:rPr>
          <w:t>https://www.fsb.org/2022/10/international-regulation-of-crypto-asset-activities-questions-for-consultation/</w:t>
        </w:r>
      </w:hyperlink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fsb.org/2022/10/international-regulation-of-crypto-asset-activities-questions-for-consult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