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Digitalization and Resilience</w:t>
      </w:r>
    </w:p>
    <w:p>
      <w:pPr>
        <w:jc w:val="center"/>
      </w:pPr>
      <w:r>
        <w:rPr>
          <w:b/>
        </w:rPr>
        <w:t>Author:</w:t>
      </w:r>
      <w:r>
        <w:t>Alexander Copestake;Julia Estefania-Flores;Davide Furceri</w:t>
      </w:r>
    </w:p>
    <w:p>
      <w:pPr>
        <w:ind w:firstLine="240"/>
        <w:jc w:val="both"/>
      </w:pPr>
      <w:r>
        <w:t>This paper investigates the role of digitialization in improving economic resilience. Using balance sheet data from 24,000 firms in 75 countries, and a difference-in-differences approach, we find that firms in industries that are more digitalized experience lower revenue losses following recessions. Early data since the outbreak of the COVID-19 pandemic suggest an even larger effect during the resulting recessions. These results are robust across a wide range of digitalization measures—such as ICT input and employment shares, robot usage, online sales, intangible assets and digital skills listed on online profiles—and several alternative specifications.</w:t>
      </w:r>
    </w:p>
    <w:p/>
    <w:p>
      <w:pPr>
        <w:jc w:val="left"/>
      </w:pPr>
      <w:r>
        <w:rPr>
          <w:b/>
        </w:rPr>
        <w:t>Url:</w:t>
        <w:br/>
      </w:r>
      <w:hyperlink r:id="rId9">
        <w:r>
          <w:rPr>
            <w:color w:val="0000FF"/>
            <w:u w:val="single"/>
          </w:rPr>
          <w:t>https://www.imf.org/en/Publications/WP/Issues/2022/10/28/Digitalization-and-Resilience-525207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imf.org/en/Publications/WP/Issues/2022/10/28/Digitalization-and-Resilience-5252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