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Raising Armenia’s Export Potential</w:t>
      </w:r>
    </w:p>
    <w:p>
      <w:pPr>
        <w:jc w:val="center"/>
      </w:pPr>
      <w:r>
        <w:rPr>
          <w:b/>
        </w:rPr>
        <w:t>Author:</w:t>
      </w:r>
      <w:r>
        <w:t>Klakow Akepanidtaworn;Lili Karapetyan;Nathalie Reyes;Yulia Ustyugova</w:t>
      </w:r>
    </w:p>
    <w:p>
      <w:pPr>
        <w:ind w:firstLine="240"/>
        <w:jc w:val="both"/>
      </w:pPr>
      <w:r>
        <w:t>Raising Armenia’s long-term growth prospects is critical to meet the pressing need for jobs, achieve higher living standards, and arrest emigration. Armenia’s long-term growth prospects have weakened since the global COVID-19 crisis, while recent global and regional the geopolitical developments added new  shocks. This paper argues that there is a need to boost the potential of the tradable sector by focusing on products with higher complexity to sustainably increase Armenia’s growth rate. It provides an overview of Armenia’s export performance, analyzes factors and policy valuables that affect export outcomes in terms of volumes and composition, and draws policy implications.</w:t>
      </w:r>
    </w:p>
    <w:p/>
    <w:p>
      <w:pPr>
        <w:jc w:val="left"/>
      </w:pPr>
      <w:r>
        <w:rPr>
          <w:b/>
        </w:rPr>
        <w:t>Url:</w:t>
        <w:br/>
      </w:r>
      <w:hyperlink r:id="rId9">
        <w:r>
          <w:rPr>
            <w:color w:val="0000FF"/>
            <w:u w:val="single"/>
          </w:rPr>
          <w:t>https://www.imf.org/en/Publications/WP/Issues/2022/10/28/Raising-Armenias-Export-Potential-525082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Raising-Armenias-Export-Potential-525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