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Carbon Emissions Trading and Environmental Protection International Evidence</w:t>
      </w:r>
    </w:p>
    <w:p>
      <w:pPr>
        <w:jc w:val="center"/>
      </w:pPr>
      <w:r>
        <w:rPr>
          <w:b/>
        </w:rPr>
        <w:t>Author:</w:t>
      </w:r>
      <w:r>
        <w:t>Jennie Bai, Hong Ru</w:t>
      </w:r>
    </w:p>
    <w:p>
      <w:pPr>
        <w:ind w:firstLine="240"/>
        <w:jc w:val="both"/>
      </w:pPr>
      <w:r>
        <w:t>We study how the implementation of emissions trading systems (ETS) impacts emissions reductions and the usage of renewable energy using a panel sample of the largest 100 countries worldwide. Exploiting the cross-country variations in ETS implementations, we show that ETS adoption materially reduced greenhouse gas (carbon dioxide) emissions by 12.1% (18.1%). Moreover, ETSs reduced overall emissions by cutting fossil fuel usage, such as coal, by 23.70% while boosting the usage of renewable energy by 61.59%, on average. In contrast, the introduction of carbon taxes has a less effective impact on emissions reduction and fails to boost the usage of renewable energy.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https://www.nber.org/papers/w30587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