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Covid-19 Learning Loss and Recovery Panel Data Evidence from India</w:t>
      </w:r>
    </w:p>
    <w:p>
      <w:pPr>
        <w:jc w:val="center"/>
      </w:pPr>
      <w:r>
        <w:rPr>
          <w:b/>
        </w:rPr>
        <w:t>Author:</w:t>
      </w:r>
      <w:r>
        <w:t>Abhijeet Singh, Mauricio Romero, Karthik Muralidharan</w:t>
      </w:r>
    </w:p>
    <w:p>
      <w:pPr>
        <w:ind w:firstLine="240"/>
        <w:jc w:val="both"/>
      </w:pPr>
      <w:r>
        <w:t>We use a panel survey of ~19,000 primary-school-aged children in rural Tamil Nadu to study ‘learning loss’ after COVID-19-induced school closures, and the pace of recovery after schools reopened. Students tested in December 2021 (18 months after school closures) displayed learning deficits of ~0.7σ standard deviations in math and ~0.34σ standard deviations in language compared to identically-aged students in the same villages in 2019. Two-thirds of this deficit was made up within 6 months after school reopening. Further, while learning loss was regressive, the recovery was progressive. A government-run after-school remediation program contributed ~24% of the cohort-level recovery, and likely aided the progressive recovery.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https://www.nber.org/papers/w30552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