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Cross-Border Mergers and Acquisitions</w:t>
      </w:r>
    </w:p>
    <w:p>
      <w:pPr>
        <w:jc w:val="center"/>
      </w:pPr>
      <w:r>
        <w:rPr>
          <w:b/>
        </w:rPr>
        <w:t>Author:</w:t>
      </w:r>
      <w:r>
        <w:t>Isil Erel, Yeejin Jang, Michael S. Weisbach</w:t>
      </w:r>
    </w:p>
    <w:p>
      <w:pPr>
        <w:ind w:firstLine="240"/>
        <w:jc w:val="both"/>
      </w:pPr>
      <w:r>
        <w:t>One of the most consequential events in any firm’s lifetime is a major acquisition. Because of their importance, mergers and acquisitions (M&amp;As) have been an enormous area of research. However, the vast majority of this research and survey papers summarizing this research have focused on domestic deals. Cross-border ones, however, constitute about 30% of the total number and 37% of the total volume of M&amp;As around the world since the early 1990s. We survey the literature on cross-border M&amp;As, focusing on international factors that can lead firms to acquire a firm in another country. Such factors include differences in economic development, laws, institutions, culture, labor rights, protection of intellectual property, taxes, and corporate governance.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https://www.nber.org/papers/w30597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