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ESG Confusion and Stock Returns Tackling the Problem of Noise</w:t>
      </w:r>
    </w:p>
    <w:p>
      <w:pPr>
        <w:jc w:val="center"/>
      </w:pPr>
      <w:r>
        <w:rPr>
          <w:b/>
        </w:rPr>
        <w:t>Author:</w:t>
      </w:r>
      <w:r>
        <w:t>Florian Berg, Julian F. Koelbel, Anna Pavlova, Roberto Rigobon</w:t>
      </w:r>
    </w:p>
    <w:p>
      <w:pPr>
        <w:ind w:firstLine="240"/>
        <w:jc w:val="both"/>
      </w:pPr>
      <w:r>
        <w:t>How does ESG (environmental, social, and governance) performance affect stock returns? Answering this question is difficult because existing measures of ESG perfor- mance — ESG ratings — are noisy and, therefore, standard regression estimates suffer from attenuation bias. To address the bias, we propose two noise-correction procedures, in which we instrument ESG ratings with ratings of other ESG rating agencies, as in the classical errors-in-variables problem. The corrected estimates demonstrate that the effect of ESG performance on stock returns is stronger than previously estimated: after correcting for attenuation bias, the coefficients increase on average by a factor of 2.6, implying an average noise-to-signal ratio of 61.7%. The attenuation bias is stable across horizons at which stock returns are measured. In simulations, our noise-correction pro- cedures outperform the standard approaches followed by practitioners such as averages or principal component analysis.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https://www.nber.org/papers/w30562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