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Externalities of Policy-Induced Scrappage The Case of Automotive Regulations</w:t>
      </w:r>
    </w:p>
    <w:p>
      <w:pPr>
        <w:jc w:val="center"/>
      </w:pPr>
      <w:r>
        <w:rPr>
          <w:b/>
        </w:rPr>
        <w:t>Author:</w:t>
      </w:r>
      <w:r>
        <w:t>Connor R. Forsythe, Akshaya Jha, Jeremy J. Michalek, Kate S. Whitefoot</w:t>
      </w:r>
    </w:p>
    <w:p>
      <w:pPr>
        <w:ind w:firstLine="240"/>
        <w:jc w:val="both"/>
      </w:pPr>
      <w:r>
        <w:t>Many transportation policies indirectly affect vehicle travel and resulting externalities by inducing changes in vehicle scrappage rates.  We leverage the staggered removal of state-level safety inspection programs across the United States within an instrumental variables (IV) framework to produce the first estimates of the fleet-size elasticities of fleet travel distance and gasoline consumption.  Our first-stage estimates indicate that the removal of safety inspections caused a 3-4% increase in fleet size on average.  Our IV estimates of the fleet-size elasticities of fleet travel distance and gasoline consumption have 95% confidence sets that imply rejection of an assumption commonly used in prior analyses that these elasticities are equal to one.  Calculations based on fleet-size elasticities of one result in substantial overestimates of the externality costs from increases in travel and fuel use from delays in scrappage due to the removal of safety inspections.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https://www.nber.org/papers/w30546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