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Housing Wealth and Consumption The Role of Heterogeneous Credit Constraints</w:t>
      </w:r>
    </w:p>
    <w:p>
      <w:pPr>
        <w:jc w:val="center"/>
      </w:pPr>
      <w:r>
        <w:rPr>
          <w:b/>
        </w:rPr>
        <w:t>Author:</w:t>
      </w:r>
      <w:r>
        <w:t>S. Borağan Aruoba, Ronel Elul, Ṣebnem Kalemli-Özcan</w:t>
      </w:r>
    </w:p>
    <w:p>
      <w:pPr>
        <w:ind w:firstLine="240"/>
        <w:jc w:val="both"/>
      </w:pPr>
      <w:r>
        <w:t>We quantify the role of heterogeneity in households' financial constraints in explaining the large decline in consumption between 2006 and 2009. Using household-level data, we show that in addition to a direct effect of changes in house prices, there are sizable indirect effects from general equilibrium feedback and bank health. About 60% of the aggregate response of consumption to changes in house prices is explained by ex-ante and ex-post financial constraints, where only a specific set of households face binding ex-post financial constraints as a result of declining house prices. We find a negligible wealth effect once we account for the role of heterogonous financial constraints.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https://www.nber.org/papers/w30591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