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Oligopsony Power and Factor-Biased Technology Adoption</w:t>
      </w:r>
    </w:p>
    <w:p>
      <w:pPr>
        <w:jc w:val="center"/>
      </w:pPr>
      <w:r>
        <w:rPr>
          <w:b/>
        </w:rPr>
        <w:t>Author:</w:t>
      </w:r>
      <w:r>
        <w:t>Michael Rubens</w:t>
      </w:r>
    </w:p>
    <w:p>
      <w:pPr>
        <w:ind w:firstLine="240"/>
        <w:jc w:val="both"/>
      </w:pPr>
      <w:r>
        <w:t>I show that buyer power of firms could either increase or decrease their technology adoption, depending on the direction of technical change and on which input markets are imperfectly competitive.  I examine this relationship empirically in a setting that features both concentrated labor markets and a large technology shock: the introduction of mechanical cutters in the 19th century Illinois coal mining industry. Using a model of production and labor supply which is estimated with mine-level data, I find that oligopsony power over skilled miners reduced the usage of cutting machines, an unskill-biased technology. However, it would have increased the usage of counterfactual skill-biased and Hicks-neutral technologies.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https://www.nber.org/papers/w30586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