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Parenting Promotes Social Mobility Within and Across Generations</w:t>
      </w:r>
    </w:p>
    <w:p>
      <w:pPr>
        <w:jc w:val="center"/>
      </w:pPr>
      <w:r>
        <w:rPr>
          <w:b/>
        </w:rPr>
        <w:t>Author:</w:t>
      </w:r>
      <w:r>
        <w:t>Jorge Luis García, James J. Heckman</w:t>
      </w:r>
    </w:p>
    <w:p>
      <w:pPr>
        <w:ind w:firstLine="240"/>
        <w:jc w:val="both"/>
      </w:pPr>
      <w:r>
        <w:t>This paper compares early childhood enrichment programs that promote social mobility for disadvantaged children within and across generations. Instead of conducting a standard meta-analysis, we present a harmonized primary data analysis of programs that shape current policy. Our analysis is a template for rigorous syntheses and comparisons across programs. We analyze new long-run life-cycle data collected for iconic programs when participants are middle-aged and their children are in their twenties. The iconic programs are omnibus in nature and offer many services to children and their parents. We compare them with relatively low-cost more focused home-visiting programs. Successful interventions target both children and their caregivers. They engage caregivers and improve the home lives of children. They permanently boost cognitive and non-cognitive skills. Participants in programs that enrich home environments grow up with better skills, jobs, earnings, marital stability, and health, as well as reduced participation in crime. Long-run monetized gains are substantially greater than program costs for iconic programs. We investigate the mechanisms promoting successful family lives for participants and find intergenerational effects on their children. A study of focused home-visiting programs that target parents enables us to isolate a crucial component of successful programs: they activate and promote parenting skills of child caregivers. The home-visiting programs we analyze produce outcomes comparable to those of the iconic omnibus programs. National implementation of the programs with long-run follow up that we analyze would substantially shrink the overall US Black-White earnings gap.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https://www.nber.org/papers/w30610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