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Regression Discontinuity Evidence on the Effectiveness of the Minimum Legal E-Cigarette Purchasing Age</w:t>
      </w:r>
    </w:p>
    <w:p>
      <w:pPr>
        <w:jc w:val="center"/>
      </w:pPr>
      <w:r>
        <w:rPr>
          <w:b/>
        </w:rPr>
        <w:t>Author:</w:t>
      </w:r>
      <w:r>
        <w:t>Jeffrey S. DeSimone, Daniel S. Grossman, Nicolas R. Ziebarth</w:t>
      </w:r>
    </w:p>
    <w:p>
      <w:pPr>
        <w:ind w:firstLine="240"/>
        <w:jc w:val="both"/>
      </w:pPr>
      <w:r>
        <w:t>Increases in youth vaping rates and concerns of a new generation of nicotine addicts recently prompted an increase in the federal minimum legal purchase age (MLPA) for tobacco products, including e-cigarettes, to 21 years. This study presents the first regression discontinuity evidence on the effectiveness of e-cigarette MLPA laws. Using data on 12th graders from Monitoring the Future, we obtain robust evidence that federal and state age-18 MLPAs decreased underage e-cigarette use by 15–20% and frequent use by 20–40%. These findings suggest that the age-21 federal MLPA could meaningfully reduce e-cigarette use among 18–20-year-olds.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https://www.nber.org/papers/w30614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6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