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Running Primary Deficits Forever in a Dynamically Efficient Economy Feasibility and Optimality</w:t>
      </w:r>
    </w:p>
    <w:p>
      <w:pPr>
        <w:jc w:val="center"/>
      </w:pPr>
      <w:r>
        <w:rPr>
          <w:b/>
        </w:rPr>
        <w:t>Author:</w:t>
      </w:r>
      <w:r>
        <w:t>Andrew B. Abel, Stavros Panageas</w:t>
      </w:r>
    </w:p>
    <w:p>
      <w:pPr>
        <w:ind w:firstLine="240"/>
        <w:jc w:val="both"/>
      </w:pPr>
      <w:r>
        <w:t>Government debt can be rolled over forever without primary surpluses in some stochastic economies, including some economies that are dynamically efficient. In an overlapping-generations model with constant growth rate, g, of labor-augmenting productivity, and with shocks to the durability of capital, we show that along a balanced growth path, the maximum sustainable ratio of bonds to capital is attained when the riskfree interest rate, r[sub]f, equals g. Furthermore, this maximal ratio maximizes utility per capita along a balanced growth path and ensures that the economy is dynamically efficient.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https://www.nber.org/papers/w30554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