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Socioeconomic Status and Access to Mental Health Care The Case of Psychiatric Medications for Children in Ontario Canada</w:t>
      </w:r>
    </w:p>
    <w:p>
      <w:pPr>
        <w:jc w:val="center"/>
      </w:pPr>
      <w:r>
        <w:rPr>
          <w:b/>
        </w:rPr>
        <w:t>Author:</w:t>
      </w:r>
      <w:r>
        <w:t>Janet Currie, Paul Kurdyak, Jonathan Zhang</w:t>
      </w:r>
    </w:p>
    <w:p>
      <w:pPr>
        <w:ind w:firstLine="240"/>
        <w:jc w:val="both"/>
      </w:pPr>
      <w:r>
        <w:t>We examine differences in the prescribing of psychiatric medications to low-income and higher-income children in the Canadian province of Ontario. The analysis takes advantage of an expansion to universal public drug coverage followed by a contraction in access, coupled with rich administrative data that includes physician identifiers. Our most striking finding is that conditional on diagnosis and medical history, low-income children are more likely to be prescribed antipsychotics and benzodiazepines than higher-income children who see the same doctors. These are drugs with potentially dangerous side effects that should be prescribed to children only under narrowly proscribed circumstances. Low-income children are also less likely to be prescribed SSRIs, the first-line treatment for depression and anxiety. Hence universal drug coverage for children did not eliminate differences in prescribing practices between low-income and higher income children, suggesting that addressing these differences would require additional interventions including changing prescribing behaviors of individual providers.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https://www.nber.org/papers/w30595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