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Impacts of COVID-19 on Racial Inequality in Business Earnings</w:t>
      </w:r>
    </w:p>
    <w:p>
      <w:pPr>
        <w:jc w:val="center"/>
      </w:pPr>
      <w:r>
        <w:rPr>
          <w:b/>
        </w:rPr>
        <w:t>Author:</w:t>
      </w:r>
      <w:r>
        <w:t>Robert W. Fairlie</w:t>
      </w:r>
    </w:p>
    <w:p>
      <w:pPr>
        <w:ind w:firstLine="240"/>
        <w:jc w:val="both"/>
      </w:pPr>
      <w:r>
        <w:t>Many small businesses have closed, lost revenues, or downsized as a response to health and economic disruptions caused by COVID-19. But, were economic losses in the pandemic disproportionately felt by businesses owned by people of color? This paper provides the first study of the impacts of COVID-19 on racial inequality in business earnings. Pandemic-induced losses to business earnings in 2020 were 16-19 percent for all business owners. Racial inequality increased in the pandemic: Black business owners experienced larger negative impacts on business earnings of 12-14 percent relative to white business owners. Regression estimates for Latinx and Asian business owners reveal negative point estimates but the estimates are not statistically significant. Using Blinder-Oaxaca decompositions and a new pandemic-focused decomposition technique, I find that the industry concentrations of Black, Latinx, and Asian business owners placed each of these groups at a higher risk of experiencing disproportionate business earnings losses in the pandemic. Higher education levels among Asian business owners helped insulate them from larger losses from COVID-19. Finally, differential exposure to COVID case rates, business closure policies, and mask mandates did not contribute to racial inequality in business earnings losses.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https://www.nber.org/papers/w30532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