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pStyle w:val="Title"/>
        <w:jc w:val="left"/>
      </w:pPr>
      <w:r>
        <w:t>Credit Sense and Fiserv OLB Team Project Plan</w:t>
      </w:r>
    </w:p>
    <w:p>
      <w:pPr>
        <w:spacing w:after="560"/>
      </w:pPr>
      <w:r>
        <w:rPr>
          <w:rFonts w:ascii="Arial" w:hAnsi="Arial"/>
          <w:color w:val="44546A"/>
          <w:sz w:val="30"/>
        </w:rPr>
        <w:t>Condensed Client Delivery Plan Organized by Team</w:t>
      </w:r>
    </w:p>
    <w:p>
      <w:pPr>
        <w:spacing w:after="360"/>
      </w:pPr>
      <w:r>
        <w:rPr>
          <w:rFonts w:ascii="Arial" w:hAnsi="Arial"/>
          <w:sz w:val="23"/>
        </w:rPr>
        <w:t>This working plan consolidates the 231-line implementation checklist into outcome-based work items for integrating Credit Sense by SavvyMoney into Fiserv Online Banking. Five checkpoints give leadership a simple view of progress, while completion criteria preserve the major delivery requirements under the team responsible for each outcome.</w:t>
      </w:r>
    </w:p>
    <w:tbl>
      <w:tblPr>
        <w:tblW w:type="auto" w:w="0"/>
        <w:jc w:val="left"/>
        <w:tblLayout w:type="fixed"/>
        <w:tblLook w:firstColumn="1" w:firstRow="1" w:lastColumn="0" w:lastRow="0" w:noHBand="0" w:noVBand="1" w:val="04A0"/>
      </w:tblPr>
      <w:tblGrid>
        <w:gridCol w:w="2880"/>
        <w:gridCol w:w="6768"/>
      </w:tblGrid>
      <w:tr>
        <w:trPr>
          <w:cantSplit/>
          <w:tblHeader w:val="true"/>
        </w:trPr>
        <w:tc>
          <w:tcPr>
            <w:tcW w:type="dxa" w:w="28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8"/>
              </w:rPr>
              <w:t>Project Profile</w:t>
            </w:r>
          </w:p>
        </w:tc>
        <w:tc>
          <w:tcPr>
            <w:tcW w:type="dxa" w:w="67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8"/>
              </w:rPr>
              <w:t>Current Baseline</w:t>
            </w:r>
          </w:p>
        </w:tc>
      </w:tr>
      <w:tr>
        <w:trPr>
          <w:cantSplit/>
        </w:trPr>
        <w:tc>
          <w:tcPr>
            <w:tcW w:type="dxa" w:w="28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20"/>
              </w:rPr>
              <w:t>Client</w:t>
            </w:r>
          </w:p>
        </w:tc>
        <w:tc>
          <w:tcPr>
            <w:tcW w:type="dxa" w:w="67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20"/>
              </w:rPr>
            </w:r>
          </w:p>
        </w:tc>
      </w:tr>
      <w:tr>
        <w:trPr>
          <w:cantSplit/>
        </w:trPr>
        <w:tc>
          <w:tcPr>
            <w:tcW w:type="dxa" w:w="28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20"/>
              </w:rPr>
              <w:t>Digital Lead</w:t>
            </w:r>
          </w:p>
        </w:tc>
        <w:tc>
          <w:tcPr>
            <w:tcW w:type="dxa" w:w="67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20"/>
              </w:rPr>
            </w:r>
          </w:p>
        </w:tc>
      </w:tr>
      <w:tr>
        <w:trPr>
          <w:cantSplit/>
        </w:trPr>
        <w:tc>
          <w:tcPr>
            <w:tcW w:type="dxa" w:w="28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20"/>
              </w:rPr>
              <w:t>Planning Horizon</w:t>
            </w:r>
          </w:p>
        </w:tc>
        <w:tc>
          <w:tcPr>
            <w:tcW w:type="dxa" w:w="67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20"/>
              </w:rPr>
              <w:t>19 project weeks</w:t>
            </w:r>
          </w:p>
        </w:tc>
      </w:tr>
      <w:tr>
        <w:trPr>
          <w:cantSplit/>
        </w:trPr>
        <w:tc>
          <w:tcPr>
            <w:tcW w:type="dxa" w:w="28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20"/>
              </w:rPr>
              <w:t>Release 1 Readiness Cutoff</w:t>
            </w:r>
          </w:p>
        </w:tc>
        <w:tc>
          <w:tcPr>
            <w:tcW w:type="dxa" w:w="67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20"/>
              </w:rPr>
              <w:t>Friday, October 2, 2026</w:t>
            </w:r>
          </w:p>
        </w:tc>
      </w:tr>
      <w:tr>
        <w:trPr>
          <w:cantSplit/>
        </w:trPr>
        <w:tc>
          <w:tcPr>
            <w:tcW w:type="dxa" w:w="28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20"/>
              </w:rPr>
              <w:t>Release 1 Target</w:t>
            </w:r>
          </w:p>
        </w:tc>
        <w:tc>
          <w:tcPr>
            <w:tcW w:type="dxa" w:w="67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20"/>
              </w:rPr>
              <w:t>October 5, 2026</w:t>
            </w:r>
          </w:p>
        </w:tc>
      </w:tr>
      <w:tr>
        <w:trPr>
          <w:cantSplit/>
        </w:trPr>
        <w:tc>
          <w:tcPr>
            <w:tcW w:type="dxa" w:w="28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20"/>
              </w:rPr>
              <w:t>Teams</w:t>
            </w:r>
          </w:p>
        </w:tc>
        <w:tc>
          <w:tcPr>
            <w:tcW w:type="dxa" w:w="67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20"/>
              </w:rPr>
              <w:t>9</w:t>
            </w:r>
          </w:p>
        </w:tc>
      </w:tr>
      <w:tr>
        <w:trPr>
          <w:cantSplit/>
        </w:trPr>
        <w:tc>
          <w:tcPr>
            <w:tcW w:type="dxa" w:w="28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20"/>
              </w:rPr>
              <w:t>Key Checkpoints</w:t>
            </w:r>
          </w:p>
        </w:tc>
        <w:tc>
          <w:tcPr>
            <w:tcW w:type="dxa" w:w="67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20"/>
              </w:rPr>
              <w:t>5</w:t>
            </w:r>
          </w:p>
        </w:tc>
      </w:tr>
      <w:tr>
        <w:trPr>
          <w:cantSplit/>
        </w:trPr>
        <w:tc>
          <w:tcPr>
            <w:tcW w:type="dxa" w:w="28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20"/>
              </w:rPr>
              <w:t>Managed Work Items</w:t>
            </w:r>
          </w:p>
        </w:tc>
        <w:tc>
          <w:tcPr>
            <w:tcW w:type="dxa" w:w="67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20"/>
              </w:rPr>
              <w:t>62</w:t>
            </w:r>
          </w:p>
        </w:tc>
      </w:tr>
      <w:tr>
        <w:trPr>
          <w:cantSplit/>
        </w:trPr>
        <w:tc>
          <w:tcPr>
            <w:tcW w:type="dxa" w:w="28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20"/>
              </w:rPr>
              <w:t>Overall Status</w:t>
            </w:r>
          </w:p>
        </w:tc>
        <w:tc>
          <w:tcPr>
            <w:tcW w:type="dxa" w:w="67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20"/>
              </w:rPr>
              <w:t>Not Started</w:t>
            </w:r>
          </w:p>
        </w:tc>
      </w:tr>
    </w:tbl>
    <w:p>
      <w:pPr>
        <w:spacing w:after="40"/>
      </w:pPr>
    </w:p>
    <w:p>
      <w:pPr>
        <w:spacing w:before="360"/>
      </w:pPr>
      <w:r>
        <w:rPr>
          <w:rFonts w:ascii="Arial" w:hAnsi="Arial"/>
          <w:b/>
          <w:sz w:val="21"/>
        </w:rPr>
        <w:t>Planning basis</w:t>
      </w:r>
      <w:r>
        <w:rPr>
          <w:rFonts w:ascii="Arial" w:hAnsi="Arial"/>
          <w:sz w:val="21"/>
        </w:rPr>
        <w:t xml:space="preserve">  All Release 1 readiness work must be complete by Friday, October 2, 2026. Monday, October 5 is reserved for production activation and validation. Post-release monitoring and Release 2 planning are tracked separately in Weeks 17 through 19.</w:t>
      </w:r>
    </w:p>
    <w:p>
      <w:r>
        <w:br w:type="page"/>
      </w:r>
    </w:p>
    <w:p>
      <w:pPr>
        <w:pStyle w:val="Heading1"/>
        <w:keepNext/>
        <w:keepLines/>
      </w:pPr>
      <w:r>
        <w:t>Using This Project Plan</w:t>
      </w:r>
    </w:p>
    <w:p>
      <w:r>
        <w:rPr>
          <w:rFonts w:ascii="Arial" w:hAnsi="Arial"/>
          <w:sz w:val="21"/>
        </w:rPr>
        <w:t>Leadership reviews the five checkpoints. Each team maintains its outcome-based work items, and Digital coordinates dependencies that cross team boundaries. Smaller implementation steps are captured under Complete When so they remain visible without becoming separate rows.</w:t>
      </w:r>
    </w:p>
    <w:p>
      <w:pPr>
        <w:pStyle w:val="Heading1"/>
        <w:keepNext/>
        <w:keepLines/>
      </w:pPr>
      <w:r>
        <w:t>Weekly Maintenance</w:t>
      </w:r>
    </w:p>
    <w:p>
      <w:pPr>
        <w:pStyle w:val="ListBullet"/>
        <w:spacing w:after="60"/>
      </w:pPr>
      <w:r>
        <w:rPr>
          <w:rFonts w:ascii="Arial" w:hAnsi="Arial"/>
          <w:sz w:val="21"/>
        </w:rPr>
        <w:t>Before the weekly meeting, each team updates task status, blocked by, and next action.</w:t>
      </w:r>
    </w:p>
    <w:p>
      <w:pPr>
        <w:pStyle w:val="ListBullet"/>
        <w:spacing w:after="60"/>
      </w:pPr>
      <w:r>
        <w:rPr>
          <w:rFonts w:ascii="Arial" w:hAnsi="Arial"/>
          <w:sz w:val="21"/>
        </w:rPr>
        <w:t>During the meeting, review the Next Two Weeks register and address blocked or at risk work first.</w:t>
      </w:r>
    </w:p>
    <w:p>
      <w:pPr>
        <w:pStyle w:val="ListBullet"/>
        <w:spacing w:after="60"/>
      </w:pPr>
      <w:r>
        <w:rPr>
          <w:rFonts w:ascii="Arial" w:hAnsi="Arial"/>
          <w:sz w:val="21"/>
        </w:rPr>
        <w:t>After the meeting, record decisions, scope changes, and checkpoint results in the project controls section.</w:t>
      </w:r>
    </w:p>
    <w:p>
      <w:pPr>
        <w:pStyle w:val="ListBullet"/>
        <w:spacing w:after="60"/>
      </w:pPr>
      <w:r>
        <w:rPr>
          <w:rFonts w:ascii="Arial" w:hAnsi="Arial"/>
          <w:sz w:val="21"/>
        </w:rPr>
        <w:t>Treat October 2 as the hard Release 1 readiness cutoff; October 5 contains only production activation and validation work.</w:t>
      </w:r>
    </w:p>
    <w:p>
      <w:pPr>
        <w:pStyle w:val="Heading1"/>
        <w:keepNext/>
        <w:keepLines/>
      </w:pPr>
      <w:r>
        <w:t>Not Needed Tasks</w:t>
      </w:r>
    </w:p>
    <w:p>
      <w:r>
        <w:rPr>
          <w:rFonts w:ascii="Arial" w:hAnsi="Arial"/>
          <w:sz w:val="21"/>
        </w:rPr>
        <w:t>Use Not Needed when a work item does not apply to the client. Record the reason in the weekly register or project controls, then remove that row from the client working copy so it no longer appears. Keep an unchanged baseline copy for traceability. Word does not automatically filter table rows when a status changes, so this baseline and working-copy method is the reliable way to remove excluded work.</w:t>
      </w:r>
    </w:p>
    <w:p>
      <w:pPr>
        <w:pStyle w:val="Heading1"/>
        <w:keepNext/>
        <w:keepLines/>
      </w:pPr>
      <w:r>
        <w:t>Team Organization</w:t>
      </w:r>
    </w:p>
    <w:p>
      <w:r>
        <w:rPr>
          <w:rFonts w:ascii="Arial" w:hAnsi="Arial"/>
          <w:sz w:val="21"/>
        </w:rPr>
        <w:t xml:space="preserve">The schedule is organized in this working order: </w:t>
      </w:r>
      <w:r>
        <w:rPr>
          <w:rFonts w:ascii="Arial" w:hAnsi="Arial"/>
          <w:b/>
          <w:sz w:val="21"/>
        </w:rPr>
        <w:t>Digital, Product, Marketing, Technology, Vendor, Data and Analytics, QA, Customer Support, and Corporate Training.</w:t>
      </w:r>
    </w:p>
    <w:p>
      <w:r>
        <w:rPr>
          <w:rFonts w:ascii="Arial" w:hAnsi="Arial"/>
          <w:sz w:val="21"/>
        </w:rPr>
        <w:t>Vendor includes Fiserv and SavvyMoney. Specialist reviewers such as Security, Legal, Privacy, and Compliance remain identified as lead roles or partners within the applicable team activity.</w:t>
      </w:r>
    </w:p>
    <w:p>
      <w:pPr>
        <w:pStyle w:val="Heading1"/>
        <w:keepNext/>
        <w:keepLines/>
      </w:pPr>
      <w:r>
        <w:t>Status Definitions</w:t>
      </w:r>
    </w:p>
    <w:tbl>
      <w:tblPr>
        <w:tblW w:type="auto" w:w="0"/>
        <w:jc w:val="center"/>
        <w:tblLayout w:type="fixed"/>
        <w:tblLook w:firstColumn="1" w:firstRow="1" w:lastColumn="0" w:lastRow="0" w:noHBand="0" w:noVBand="1" w:val="04A0"/>
      </w:tblPr>
      <w:tblGrid>
        <w:gridCol w:w="2160"/>
        <w:gridCol w:w="7488"/>
      </w:tblGrid>
      <w:tr>
        <w:trPr>
          <w:cantSplit/>
          <w:tblHeader w:val="true"/>
        </w:trPr>
        <w:tc>
          <w:tcPr>
            <w:tcW w:type="dxa" w:w="216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8"/>
              </w:rPr>
              <w:t>Status</w:t>
            </w:r>
          </w:p>
        </w:tc>
        <w:tc>
          <w:tcPr>
            <w:tcW w:type="dxa" w:w="748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8"/>
              </w:rPr>
              <w:t>When To Use It</w:t>
            </w:r>
          </w:p>
        </w:tc>
      </w:tr>
      <w:tr>
        <w:trPr>
          <w:cantSplit/>
        </w:trPr>
        <w:tc>
          <w:tcPr>
            <w:tcW w:type="dxa" w:w="216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9"/>
              </w:rPr>
              <w:t>Not Started</w:t>
            </w:r>
          </w:p>
        </w:tc>
        <w:tc>
          <w:tcPr>
            <w:tcW w:type="dxa" w:w="748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9"/>
              </w:rPr>
              <w:t>Work has not begun.</w:t>
            </w:r>
          </w:p>
        </w:tc>
      </w:tr>
      <w:tr>
        <w:trPr>
          <w:cantSplit/>
        </w:trPr>
        <w:tc>
          <w:tcPr>
            <w:tcW w:type="dxa" w:w="216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DDEBF7"/>
          </w:tcPr>
          <w:p>
            <w:pPr>
              <w:spacing w:before="0" w:after="0" w:line="240" w:lineRule="auto"/>
              <w:jc w:val="center"/>
            </w:pPr>
            <w:r>
              <w:rPr>
                <w:rFonts w:ascii="Arial" w:hAnsi="Arial"/>
                <w:b w:val="0"/>
                <w:color w:val="000000"/>
                <w:sz w:val="19"/>
              </w:rPr>
              <w:t>In Progress</w:t>
            </w:r>
          </w:p>
        </w:tc>
        <w:tc>
          <w:tcPr>
            <w:tcW w:type="dxa" w:w="748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9"/>
              </w:rPr>
              <w:t>Work is underway with an accountable owner.</w:t>
            </w:r>
          </w:p>
        </w:tc>
      </w:tr>
      <w:tr>
        <w:trPr>
          <w:cantSplit/>
        </w:trPr>
        <w:tc>
          <w:tcPr>
            <w:tcW w:type="dxa" w:w="216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2CC"/>
          </w:tcPr>
          <w:p>
            <w:pPr>
              <w:spacing w:before="0" w:after="0" w:line="240" w:lineRule="auto"/>
              <w:jc w:val="center"/>
            </w:pPr>
            <w:r>
              <w:rPr>
                <w:rFonts w:ascii="Arial" w:hAnsi="Arial"/>
                <w:b w:val="0"/>
                <w:color w:val="000000"/>
                <w:sz w:val="19"/>
              </w:rPr>
              <w:t>At Risk</w:t>
            </w:r>
          </w:p>
        </w:tc>
        <w:tc>
          <w:tcPr>
            <w:tcW w:type="dxa" w:w="748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9"/>
              </w:rPr>
              <w:t>The target or exit criteria may be missed. Mitigation is required.</w:t>
            </w:r>
          </w:p>
        </w:tc>
      </w:tr>
      <w:tr>
        <w:trPr>
          <w:cantSplit/>
        </w:trPr>
        <w:tc>
          <w:tcPr>
            <w:tcW w:type="dxa" w:w="216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CE4D6"/>
          </w:tcPr>
          <w:p>
            <w:pPr>
              <w:spacing w:before="0" w:after="0" w:line="240" w:lineRule="auto"/>
              <w:jc w:val="center"/>
            </w:pPr>
            <w:r>
              <w:rPr>
                <w:rFonts w:ascii="Arial" w:hAnsi="Arial"/>
                <w:b w:val="0"/>
                <w:color w:val="000000"/>
                <w:sz w:val="19"/>
              </w:rPr>
              <w:t>Blocked</w:t>
            </w:r>
          </w:p>
        </w:tc>
        <w:tc>
          <w:tcPr>
            <w:tcW w:type="dxa" w:w="748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9"/>
              </w:rPr>
              <w:t>Work cannot proceed until a decision or action occurs.</w:t>
            </w:r>
          </w:p>
        </w:tc>
      </w:tr>
      <w:tr>
        <w:trPr>
          <w:cantSplit/>
        </w:trPr>
        <w:tc>
          <w:tcPr>
            <w:tcW w:type="dxa" w:w="216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2F0D9"/>
          </w:tcPr>
          <w:p>
            <w:pPr>
              <w:spacing w:before="0" w:after="0" w:line="240" w:lineRule="auto"/>
              <w:jc w:val="center"/>
            </w:pPr>
            <w:r>
              <w:rPr>
                <w:rFonts w:ascii="Arial" w:hAnsi="Arial"/>
                <w:b w:val="0"/>
                <w:color w:val="000000"/>
                <w:sz w:val="19"/>
              </w:rPr>
              <w:t>Complete</w:t>
            </w:r>
          </w:p>
        </w:tc>
        <w:tc>
          <w:tcPr>
            <w:tcW w:type="dxa" w:w="748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9"/>
              </w:rPr>
              <w:t>The deliverable is accepted and the dependency is satisfied.</w:t>
            </w:r>
          </w:p>
        </w:tc>
      </w:tr>
      <w:tr>
        <w:trPr>
          <w:cantSplit/>
        </w:trPr>
        <w:tc>
          <w:tcPr>
            <w:tcW w:type="dxa" w:w="216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7E6E6"/>
          </w:tcPr>
          <w:p>
            <w:pPr>
              <w:spacing w:before="0" w:after="0" w:line="240" w:lineRule="auto"/>
              <w:jc w:val="center"/>
            </w:pPr>
            <w:r>
              <w:rPr>
                <w:rFonts w:ascii="Arial" w:hAnsi="Arial"/>
                <w:b w:val="0"/>
                <w:color w:val="000000"/>
                <w:sz w:val="19"/>
              </w:rPr>
              <w:t>Not Needed</w:t>
            </w:r>
          </w:p>
        </w:tc>
        <w:tc>
          <w:tcPr>
            <w:tcW w:type="dxa" w:w="748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9"/>
              </w:rPr>
              <w:t>The task does not apply to this client and is removed from the working copy.</w:t>
            </w:r>
          </w:p>
        </w:tc>
      </w:tr>
    </w:tbl>
    <w:p>
      <w:pPr>
        <w:spacing w:after="40"/>
      </w:pPr>
    </w:p>
    <w:p>
      <w:pPr>
        <w:sectPr>
          <w:headerReference w:type="default" r:id="rId9"/>
          <w:footerReference w:type="default" r:id="rId10"/>
          <w:pgSz w:w="12240" w:h="15840"/>
          <w:pgMar w:top="1080" w:right="1080" w:bottom="936" w:left="1080" w:header="720" w:footer="720" w:gutter="0"/>
          <w:cols w:space="720"/>
          <w:titlePg/>
          <w:docGrid w:linePitch="360"/>
        </w:sectPr>
      </w:pPr>
    </w:p>
    <w:p>
      <w:pPr>
        <w:pStyle w:val="Heading1"/>
        <w:keepNext/>
        <w:keepLines/>
      </w:pPr>
      <w:r>
        <w:t>Key Checkpoints</w:t>
      </w:r>
    </w:p>
    <w:p>
      <w:r>
        <w:rPr>
          <w:rFonts w:ascii="Arial" w:hAnsi="Arial"/>
          <w:sz w:val="19"/>
        </w:rPr>
        <w:t>A checkpoint summarizes an outcome; it does not replace the underlying team activities. Mark it complete only when the stated result is true.</w:t>
      </w:r>
    </w:p>
    <w:tbl>
      <w:tblPr>
        <w:tblW w:type="auto" w:w="0"/>
        <w:jc w:val="center"/>
        <w:tblLayout w:type="fixed"/>
        <w:tblLook w:firstColumn="1" w:firstRow="1" w:lastColumn="0" w:lastRow="0" w:noHBand="0" w:noVBand="1" w:val="04A0"/>
      </w:tblPr>
      <w:tblGrid>
        <w:gridCol w:w="792"/>
        <w:gridCol w:w="2160"/>
        <w:gridCol w:w="1655"/>
        <w:gridCol w:w="1440"/>
        <w:gridCol w:w="6768"/>
        <w:gridCol w:w="1584"/>
      </w:tblGrid>
      <w:tr>
        <w:trPr>
          <w:cantSplit/>
          <w:tblHeader w:val="true"/>
        </w:trPr>
        <w:tc>
          <w:tcPr>
            <w:tcW w:type="dxa" w:w="79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6"/>
              </w:rPr>
              <w:t>ID</w:t>
            </w:r>
          </w:p>
        </w:tc>
        <w:tc>
          <w:tcPr>
            <w:tcW w:type="dxa" w:w="216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6"/>
              </w:rPr>
              <w:t>Checkpoint</w:t>
            </w:r>
          </w:p>
        </w:tc>
        <w:tc>
          <w:tcPr>
            <w:tcW w:type="dxa" w:w="165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6"/>
              </w:rPr>
              <w:t>Target</w:t>
            </w:r>
          </w:p>
        </w:tc>
        <w:tc>
          <w:tcPr>
            <w:tcW w:type="dxa" w:w="14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6"/>
              </w:rPr>
              <w:t>Lead Team</w:t>
            </w:r>
          </w:p>
        </w:tc>
        <w:tc>
          <w:tcPr>
            <w:tcW w:type="dxa" w:w="67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6"/>
              </w:rPr>
              <w:t>Complete When</w:t>
            </w:r>
          </w:p>
        </w:tc>
        <w:tc>
          <w:tcPr>
            <w:tcW w:type="dxa" w:w="158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6"/>
              </w:rPr>
              <w:t>Status</w:t>
            </w:r>
          </w:p>
        </w:tc>
      </w:tr>
      <w:tr>
        <w:trPr>
          <w:cantSplit/>
        </w:trPr>
        <w:tc>
          <w:tcPr>
            <w:tcW w:type="dxa" w:w="79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7"/>
              </w:rPr>
              <w:t>CP1</w:t>
            </w:r>
          </w:p>
        </w:tc>
        <w:tc>
          <w:tcPr>
            <w:tcW w:type="dxa" w:w="216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t>Solution Confirmed</w:t>
            </w:r>
          </w:p>
        </w:tc>
        <w:tc>
          <w:tcPr>
            <w:tcW w:type="dxa" w:w="165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7"/>
              </w:rPr>
              <w:t>Week 6</w:t>
            </w:r>
          </w:p>
        </w:tc>
        <w:tc>
          <w:tcPr>
            <w:tcW w:type="dxa" w:w="14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t>Product</w:t>
            </w:r>
          </w:p>
        </w:tc>
        <w:tc>
          <w:tcPr>
            <w:tcW w:type="dxa" w:w="67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t>Scope, customer experience, technical solution, data requirements, vendor responsibilities, and required security, legal, privacy, and compliance reviews are confirmed.</w:t>
            </w:r>
          </w:p>
        </w:tc>
        <w:tc>
          <w:tcPr>
            <w:tcW w:type="dxa" w:w="158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7"/>
              </w:rPr>
              <w:t>Not Started</w:t>
            </w:r>
          </w:p>
        </w:tc>
      </w:tr>
      <w:tr>
        <w:trPr>
          <w:cantSplit/>
        </w:trPr>
        <w:tc>
          <w:tcPr>
            <w:tcW w:type="dxa" w:w="79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7"/>
              </w:rPr>
              <w:t>CP2</w:t>
            </w:r>
          </w:p>
        </w:tc>
        <w:tc>
          <w:tcPr>
            <w:tcW w:type="dxa" w:w="216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t>Configurations Complete</w:t>
            </w:r>
          </w:p>
        </w:tc>
        <w:tc>
          <w:tcPr>
            <w:tcW w:type="dxa" w:w="165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7"/>
              </w:rPr>
              <w:t>Week 8</w:t>
            </w:r>
          </w:p>
        </w:tc>
        <w:tc>
          <w:tcPr>
            <w:tcW w:type="dxa" w:w="14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t>Technology</w:t>
            </w:r>
          </w:p>
        </w:tc>
        <w:tc>
          <w:tcPr>
            <w:tcW w:type="dxa" w:w="67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t>Test environments, single sign on, navigation, entitlements, branding, customer-data mapping, analytics tagging, monitoring, and initial integration testing are complete.</w:t>
            </w:r>
          </w:p>
        </w:tc>
        <w:tc>
          <w:tcPr>
            <w:tcW w:type="dxa" w:w="158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7"/>
              </w:rPr>
              <w:t>Not Started</w:t>
            </w:r>
          </w:p>
        </w:tc>
      </w:tr>
      <w:tr>
        <w:trPr>
          <w:cantSplit/>
        </w:trPr>
        <w:tc>
          <w:tcPr>
            <w:tcW w:type="dxa" w:w="79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7"/>
              </w:rPr>
              <w:t>CP3</w:t>
            </w:r>
          </w:p>
        </w:tc>
        <w:tc>
          <w:tcPr>
            <w:tcW w:type="dxa" w:w="216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t>Ready for Production</w:t>
            </w:r>
          </w:p>
        </w:tc>
        <w:tc>
          <w:tcPr>
            <w:tcW w:type="dxa" w:w="165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7"/>
              </w:rPr>
              <w:t>Oct 2, 2026 (W16)</w:t>
            </w:r>
          </w:p>
        </w:tc>
        <w:tc>
          <w:tcPr>
            <w:tcW w:type="dxa" w:w="14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t>Digital</w:t>
            </w:r>
          </w:p>
        </w:tc>
        <w:tc>
          <w:tcPr>
            <w:tcW w:type="dxa" w:w="67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t>Functional QA, broader end-to-end UAT, critical defect resolution, final approvals, production and rollback plans, customer support, training, communications, analytics, and the Go or No Go review are complete by Friday, October 2.</w:t>
            </w:r>
          </w:p>
        </w:tc>
        <w:tc>
          <w:tcPr>
            <w:tcW w:type="dxa" w:w="158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7"/>
              </w:rPr>
              <w:t>Not Started</w:t>
            </w:r>
          </w:p>
        </w:tc>
      </w:tr>
      <w:tr>
        <w:trPr>
          <w:cantSplit/>
        </w:trPr>
        <w:tc>
          <w:tcPr>
            <w:tcW w:type="dxa" w:w="79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7"/>
              </w:rPr>
              <w:t>CP4</w:t>
            </w:r>
          </w:p>
        </w:tc>
        <w:tc>
          <w:tcPr>
            <w:tcW w:type="dxa" w:w="216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t>Release 1 Complete</w:t>
            </w:r>
          </w:p>
        </w:tc>
        <w:tc>
          <w:tcPr>
            <w:tcW w:type="dxa" w:w="165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7"/>
              </w:rPr>
              <w:t>Oct 5, 2026 (W17)</w:t>
            </w:r>
          </w:p>
        </w:tc>
        <w:tc>
          <w:tcPr>
            <w:tcW w:type="dxa" w:w="14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t>Digital</w:t>
            </w:r>
          </w:p>
        </w:tc>
        <w:tc>
          <w:tcPr>
            <w:tcW w:type="dxa" w:w="67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t>Production activation and validation succeed on Monday, October 5, customer access and launch communications are live, and no critical launch issue remains open.</w:t>
            </w:r>
          </w:p>
        </w:tc>
        <w:tc>
          <w:tcPr>
            <w:tcW w:type="dxa" w:w="158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7"/>
              </w:rPr>
              <w:t>Not Started</w:t>
            </w:r>
          </w:p>
        </w:tc>
      </w:tr>
      <w:tr>
        <w:trPr>
          <w:cantSplit/>
        </w:trPr>
        <w:tc>
          <w:tcPr>
            <w:tcW w:type="dxa" w:w="79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7"/>
              </w:rPr>
              <w:t>CP5</w:t>
            </w:r>
          </w:p>
        </w:tc>
        <w:tc>
          <w:tcPr>
            <w:tcW w:type="dxa" w:w="216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t>Release 2 Planning</w:t>
            </w:r>
          </w:p>
        </w:tc>
        <w:tc>
          <w:tcPr>
            <w:tcW w:type="dxa" w:w="165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7"/>
              </w:rPr>
              <w:t>Oct 23, 2026 (W19)</w:t>
            </w:r>
          </w:p>
        </w:tc>
        <w:tc>
          <w:tcPr>
            <w:tcW w:type="dxa" w:w="14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t>Product</w:t>
            </w:r>
          </w:p>
        </w:tc>
        <w:tc>
          <w:tcPr>
            <w:tcW w:type="dxa" w:w="67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t>Release 1 results and feedback are reviewed, Release 2 scope is prioritized, delivery dependencies and training impacts are understood, and owners and target timing are confirmed.</w:t>
            </w:r>
          </w:p>
        </w:tc>
        <w:tc>
          <w:tcPr>
            <w:tcW w:type="dxa" w:w="158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7"/>
              </w:rPr>
              <w:t>Not Started</w:t>
            </w:r>
          </w:p>
        </w:tc>
      </w:tr>
    </w:tbl>
    <w:p>
      <w:pPr>
        <w:spacing w:after="40"/>
      </w:pPr>
    </w:p>
    <w:p>
      <w:pPr>
        <w:pStyle w:val="Heading1"/>
        <w:keepNext/>
        <w:keepLines/>
        <w:pageBreakBefore/>
      </w:pPr>
      <w:r>
        <w:t>Delivery Roadmap</w:t>
      </w:r>
    </w:p>
    <w:p>
      <w:r>
        <w:rPr>
          <w:rFonts w:ascii="Arial" w:hAnsi="Arial"/>
          <w:color w:val="44546A"/>
          <w:sz w:val="19"/>
        </w:rPr>
        <w:t>Blue cells show the planned work window for each checkpoint. The checkpoint target appears in the first column.</w:t>
      </w:r>
    </w:p>
    <w:tbl>
      <w:tblPr>
        <w:tblW w:type="auto" w:w="0"/>
        <w:jc w:val="center"/>
        <w:tblLayout w:type="fixed"/>
        <w:tblLook w:firstColumn="1" w:firstRow="1" w:lastColumn="0" w:lastRow="0" w:noHBand="0" w:noVBand="1" w:val="04A0"/>
      </w:tblPr>
      <w:tblGrid>
        <w:gridCol w:w="4824"/>
        <w:gridCol w:w="503"/>
        <w:gridCol w:w="503"/>
        <w:gridCol w:w="503"/>
        <w:gridCol w:w="503"/>
        <w:gridCol w:w="503"/>
        <w:gridCol w:w="503"/>
        <w:gridCol w:w="503"/>
        <w:gridCol w:w="503"/>
        <w:gridCol w:w="503"/>
        <w:gridCol w:w="503"/>
        <w:gridCol w:w="503"/>
        <w:gridCol w:w="503"/>
        <w:gridCol w:w="503"/>
        <w:gridCol w:w="503"/>
        <w:gridCol w:w="503"/>
        <w:gridCol w:w="503"/>
        <w:gridCol w:w="503"/>
        <w:gridCol w:w="503"/>
        <w:gridCol w:w="503"/>
      </w:tblGrid>
      <w:tr>
        <w:trPr>
          <w:cantSplit/>
          <w:tblHeader w:val="true"/>
        </w:trPr>
        <w:tc>
          <w:tcPr>
            <w:tcW w:type="dxa" w:w="482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4"/>
              </w:rPr>
              <w:t>Checkpoint and Target</w:t>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4"/>
              </w:rPr>
              <w:t>W1</w:t>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4"/>
              </w:rPr>
              <w:t>W2</w:t>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4"/>
              </w:rPr>
              <w:t>W3</w:t>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4"/>
              </w:rPr>
              <w:t>W4</w:t>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4"/>
              </w:rPr>
              <w:t>W5</w:t>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4"/>
              </w:rPr>
              <w:t>W6</w:t>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4"/>
              </w:rPr>
              <w:t>W7</w:t>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4"/>
              </w:rPr>
              <w:t>W8</w:t>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4"/>
              </w:rPr>
              <w:t>W9</w:t>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4"/>
              </w:rPr>
              <w:t>W10</w:t>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4"/>
              </w:rPr>
              <w:t>W11</w:t>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4"/>
              </w:rPr>
              <w:t>W12</w:t>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4"/>
              </w:rPr>
              <w:t>W13</w:t>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4"/>
              </w:rPr>
              <w:t>W14</w:t>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4"/>
              </w:rPr>
              <w:t>W15</w:t>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4"/>
              </w:rPr>
              <w:t>W16</w:t>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4"/>
              </w:rPr>
              <w:t>W17</w:t>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4"/>
              </w:rPr>
              <w:t>W18</w:t>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4"/>
              </w:rPr>
              <w:t>W19</w:t>
            </w:r>
          </w:p>
        </w:tc>
      </w:tr>
      <w:tr>
        <w:trPr>
          <w:cantSplit/>
        </w:trPr>
        <w:tc>
          <w:tcPr>
            <w:tcW w:type="dxa" w:w="482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4"/>
              </w:rPr>
              <w:t>CP1 Solution Confirmed  Week 6</w:t>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2F75B5"/>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2F75B5"/>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2F75B5"/>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2F75B5"/>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2F75B5"/>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2F75B5"/>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r>
      <w:tr>
        <w:trPr>
          <w:cantSplit/>
        </w:trPr>
        <w:tc>
          <w:tcPr>
            <w:tcW w:type="dxa" w:w="482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4"/>
              </w:rPr>
              <w:t>CP2 Configurations Complete  Week 8</w:t>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2F75B5"/>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2F75B5"/>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2F75B5"/>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2F75B5"/>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r>
      <w:tr>
        <w:trPr>
          <w:cantSplit/>
        </w:trPr>
        <w:tc>
          <w:tcPr>
            <w:tcW w:type="dxa" w:w="482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4"/>
              </w:rPr>
              <w:t>CP3 Ready for Production  Oct 2, 2026 (W16)</w:t>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2F75B5"/>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2F75B5"/>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2F75B5"/>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2F75B5"/>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2F75B5"/>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2F75B5"/>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2F75B5"/>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2F75B5"/>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2F75B5"/>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2F75B5"/>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r>
      <w:tr>
        <w:trPr>
          <w:cantSplit/>
        </w:trPr>
        <w:tc>
          <w:tcPr>
            <w:tcW w:type="dxa" w:w="482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4"/>
              </w:rPr>
              <w:t>CP4 Release 1 Complete  Oct 5, 2026 (W17)</w:t>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2F75B5"/>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r>
      <w:tr>
        <w:trPr>
          <w:cantSplit/>
        </w:trPr>
        <w:tc>
          <w:tcPr>
            <w:tcW w:type="dxa" w:w="482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4"/>
              </w:rPr>
              <w:t>CP5 Release 2 Planning  Oct 23, 2026 (W19)</w:t>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2F75B5"/>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2F75B5"/>
          </w:tcPr>
          <w:p>
            <w:pPr>
              <w:spacing w:before="0" w:after="0" w:line="240" w:lineRule="auto"/>
              <w:jc w:val="center"/>
            </w:pPr>
            <w:r>
              <w:rPr>
                <w:rFonts w:ascii="Arial" w:hAnsi="Arial"/>
                <w:b w:val="0"/>
                <w:color w:val="000000"/>
                <w:sz w:val="14"/>
              </w:rPr>
            </w:r>
          </w:p>
        </w:tc>
        <w:tc>
          <w:tcPr>
            <w:tcW w:type="dxa" w:w="50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2F75B5"/>
          </w:tcPr>
          <w:p>
            <w:pPr>
              <w:spacing w:before="0" w:after="0" w:line="240" w:lineRule="auto"/>
              <w:jc w:val="center"/>
            </w:pPr>
            <w:r>
              <w:rPr>
                <w:rFonts w:ascii="Arial" w:hAnsi="Arial"/>
                <w:b w:val="0"/>
                <w:color w:val="000000"/>
                <w:sz w:val="14"/>
              </w:rPr>
            </w:r>
          </w:p>
        </w:tc>
      </w:tr>
    </w:tbl>
    <w:p>
      <w:pPr>
        <w:spacing w:after="40"/>
      </w:pPr>
    </w:p>
    <w:p>
      <w:pPr>
        <w:pStyle w:val="Heading2"/>
        <w:keepNext/>
        <w:keepLines/>
      </w:pPr>
      <w:r>
        <w:t>Team and Checkpoint Map</w:t>
      </w:r>
    </w:p>
    <w:p>
      <w:r>
        <w:rPr>
          <w:rFonts w:ascii="Arial" w:hAnsi="Arial"/>
          <w:sz w:val="19"/>
        </w:rPr>
        <w:t>Lead identifies the team responsible for confirming the checkpoint. Support identifies teams with required activities or evidence.</w:t>
      </w:r>
    </w:p>
    <w:tbl>
      <w:tblPr>
        <w:tblW w:type="auto" w:w="0"/>
        <w:jc w:val="center"/>
        <w:tblLayout w:type="fixed"/>
        <w:tblLook w:firstColumn="1" w:firstRow="1" w:lastColumn="0" w:lastRow="0" w:noHBand="0" w:noVBand="1" w:val="04A0"/>
      </w:tblPr>
      <w:tblGrid>
        <w:gridCol w:w="2592"/>
        <w:gridCol w:w="2361"/>
        <w:gridCol w:w="2361"/>
        <w:gridCol w:w="2361"/>
        <w:gridCol w:w="2361"/>
        <w:gridCol w:w="2361"/>
      </w:tblGrid>
      <w:tr>
        <w:trPr>
          <w:cantSplit/>
          <w:tblHeader w:val="true"/>
        </w:trPr>
        <w:tc>
          <w:tcPr>
            <w:tcW w:type="dxa" w:w="259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5"/>
              </w:rPr>
              <w:t>Team</w:t>
            </w:r>
          </w:p>
        </w:tc>
        <w:tc>
          <w:tcPr>
            <w:tcW w:type="dxa" w:w="236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5"/>
              </w:rPr>
              <w:t>CP1</w:t>
              <w:br/>
              <w:t>Solution Confirmed</w:t>
            </w:r>
          </w:p>
        </w:tc>
        <w:tc>
          <w:tcPr>
            <w:tcW w:type="dxa" w:w="236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5"/>
              </w:rPr>
              <w:t>CP2</w:t>
              <w:br/>
              <w:t>Configurations Complete</w:t>
            </w:r>
          </w:p>
        </w:tc>
        <w:tc>
          <w:tcPr>
            <w:tcW w:type="dxa" w:w="236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5"/>
              </w:rPr>
              <w:t>CP3</w:t>
              <w:br/>
              <w:t>Ready for Production</w:t>
            </w:r>
          </w:p>
        </w:tc>
        <w:tc>
          <w:tcPr>
            <w:tcW w:type="dxa" w:w="236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5"/>
              </w:rPr>
              <w:t>CP4</w:t>
              <w:br/>
              <w:t>Release 1 Complete</w:t>
            </w:r>
          </w:p>
        </w:tc>
        <w:tc>
          <w:tcPr>
            <w:tcW w:type="dxa" w:w="236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5"/>
              </w:rPr>
              <w:t>CP5</w:t>
              <w:br/>
              <w:t>Release 2 Planning</w:t>
            </w:r>
          </w:p>
        </w:tc>
      </w:tr>
      <w:tr>
        <w:trPr>
          <w:cantSplit/>
        </w:trPr>
        <w:tc>
          <w:tcPr>
            <w:tcW w:type="dxa" w:w="259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Digital</w:t>
            </w:r>
          </w:p>
        </w:tc>
        <w:tc>
          <w:tcPr>
            <w:tcW w:type="dxa" w:w="236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Support</w:t>
            </w:r>
          </w:p>
        </w:tc>
        <w:tc>
          <w:tcPr>
            <w:tcW w:type="dxa" w:w="236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Support</w:t>
            </w:r>
          </w:p>
        </w:tc>
        <w:tc>
          <w:tcPr>
            <w:tcW w:type="dxa" w:w="236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Lead</w:t>
            </w:r>
          </w:p>
        </w:tc>
        <w:tc>
          <w:tcPr>
            <w:tcW w:type="dxa" w:w="236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Lead</w:t>
            </w:r>
          </w:p>
        </w:tc>
        <w:tc>
          <w:tcPr>
            <w:tcW w:type="dxa" w:w="236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Support</w:t>
            </w:r>
          </w:p>
        </w:tc>
      </w:tr>
      <w:tr>
        <w:trPr>
          <w:cantSplit/>
        </w:trPr>
        <w:tc>
          <w:tcPr>
            <w:tcW w:type="dxa" w:w="259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Product</w:t>
            </w:r>
          </w:p>
        </w:tc>
        <w:tc>
          <w:tcPr>
            <w:tcW w:type="dxa" w:w="236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Lead</w:t>
            </w:r>
          </w:p>
        </w:tc>
        <w:tc>
          <w:tcPr>
            <w:tcW w:type="dxa" w:w="236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Support</w:t>
            </w:r>
          </w:p>
        </w:tc>
        <w:tc>
          <w:tcPr>
            <w:tcW w:type="dxa" w:w="236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Support</w:t>
            </w:r>
          </w:p>
        </w:tc>
        <w:tc>
          <w:tcPr>
            <w:tcW w:type="dxa" w:w="236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Support</w:t>
            </w:r>
          </w:p>
        </w:tc>
        <w:tc>
          <w:tcPr>
            <w:tcW w:type="dxa" w:w="236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Lead</w:t>
            </w:r>
          </w:p>
        </w:tc>
      </w:tr>
      <w:tr>
        <w:trPr>
          <w:cantSplit/>
        </w:trPr>
        <w:tc>
          <w:tcPr>
            <w:tcW w:type="dxa" w:w="259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Marketing</w:t>
            </w:r>
          </w:p>
        </w:tc>
        <w:tc>
          <w:tcPr>
            <w:tcW w:type="dxa" w:w="236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Support</w:t>
            </w:r>
          </w:p>
        </w:tc>
        <w:tc>
          <w:tcPr>
            <w:tcW w:type="dxa" w:w="236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Support</w:t>
            </w:r>
          </w:p>
        </w:tc>
        <w:tc>
          <w:tcPr>
            <w:tcW w:type="dxa" w:w="236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Support</w:t>
            </w:r>
          </w:p>
        </w:tc>
        <w:tc>
          <w:tcPr>
            <w:tcW w:type="dxa" w:w="236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Support</w:t>
            </w:r>
          </w:p>
        </w:tc>
        <w:tc>
          <w:tcPr>
            <w:tcW w:type="dxa" w:w="236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Support</w:t>
            </w:r>
          </w:p>
        </w:tc>
      </w:tr>
      <w:tr>
        <w:trPr>
          <w:cantSplit/>
        </w:trPr>
        <w:tc>
          <w:tcPr>
            <w:tcW w:type="dxa" w:w="259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Technology</w:t>
            </w:r>
          </w:p>
        </w:tc>
        <w:tc>
          <w:tcPr>
            <w:tcW w:type="dxa" w:w="236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Support</w:t>
            </w:r>
          </w:p>
        </w:tc>
        <w:tc>
          <w:tcPr>
            <w:tcW w:type="dxa" w:w="236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Lead</w:t>
            </w:r>
          </w:p>
        </w:tc>
        <w:tc>
          <w:tcPr>
            <w:tcW w:type="dxa" w:w="236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Support</w:t>
            </w:r>
          </w:p>
        </w:tc>
        <w:tc>
          <w:tcPr>
            <w:tcW w:type="dxa" w:w="236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Support</w:t>
            </w:r>
          </w:p>
        </w:tc>
        <w:tc>
          <w:tcPr>
            <w:tcW w:type="dxa" w:w="236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Support</w:t>
            </w:r>
          </w:p>
        </w:tc>
      </w:tr>
      <w:tr>
        <w:trPr>
          <w:cantSplit/>
        </w:trPr>
        <w:tc>
          <w:tcPr>
            <w:tcW w:type="dxa" w:w="259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Vendor</w:t>
            </w:r>
          </w:p>
        </w:tc>
        <w:tc>
          <w:tcPr>
            <w:tcW w:type="dxa" w:w="236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Support</w:t>
            </w:r>
          </w:p>
        </w:tc>
        <w:tc>
          <w:tcPr>
            <w:tcW w:type="dxa" w:w="236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Support</w:t>
            </w:r>
          </w:p>
        </w:tc>
        <w:tc>
          <w:tcPr>
            <w:tcW w:type="dxa" w:w="236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Support</w:t>
            </w:r>
          </w:p>
        </w:tc>
        <w:tc>
          <w:tcPr>
            <w:tcW w:type="dxa" w:w="236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Support</w:t>
            </w:r>
          </w:p>
        </w:tc>
        <w:tc>
          <w:tcPr>
            <w:tcW w:type="dxa" w:w="236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Support</w:t>
            </w:r>
          </w:p>
        </w:tc>
      </w:tr>
      <w:tr>
        <w:trPr>
          <w:cantSplit/>
        </w:trPr>
        <w:tc>
          <w:tcPr>
            <w:tcW w:type="dxa" w:w="259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Data/Analytics</w:t>
            </w:r>
          </w:p>
        </w:tc>
        <w:tc>
          <w:tcPr>
            <w:tcW w:type="dxa" w:w="236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Support</w:t>
            </w:r>
          </w:p>
        </w:tc>
        <w:tc>
          <w:tcPr>
            <w:tcW w:type="dxa" w:w="236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Support</w:t>
            </w:r>
          </w:p>
        </w:tc>
        <w:tc>
          <w:tcPr>
            <w:tcW w:type="dxa" w:w="236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Support</w:t>
            </w:r>
          </w:p>
        </w:tc>
        <w:tc>
          <w:tcPr>
            <w:tcW w:type="dxa" w:w="236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Support</w:t>
            </w:r>
          </w:p>
        </w:tc>
        <w:tc>
          <w:tcPr>
            <w:tcW w:type="dxa" w:w="236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Support</w:t>
            </w:r>
          </w:p>
        </w:tc>
      </w:tr>
      <w:tr>
        <w:trPr>
          <w:cantSplit/>
        </w:trPr>
        <w:tc>
          <w:tcPr>
            <w:tcW w:type="dxa" w:w="259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QA</w:t>
            </w:r>
          </w:p>
        </w:tc>
        <w:tc>
          <w:tcPr>
            <w:tcW w:type="dxa" w:w="236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r>
          </w:p>
        </w:tc>
        <w:tc>
          <w:tcPr>
            <w:tcW w:type="dxa" w:w="236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r>
          </w:p>
        </w:tc>
        <w:tc>
          <w:tcPr>
            <w:tcW w:type="dxa" w:w="236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Support</w:t>
            </w:r>
          </w:p>
        </w:tc>
        <w:tc>
          <w:tcPr>
            <w:tcW w:type="dxa" w:w="236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r>
          </w:p>
        </w:tc>
        <w:tc>
          <w:tcPr>
            <w:tcW w:type="dxa" w:w="236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r>
          </w:p>
        </w:tc>
      </w:tr>
      <w:tr>
        <w:trPr>
          <w:cantSplit/>
        </w:trPr>
        <w:tc>
          <w:tcPr>
            <w:tcW w:type="dxa" w:w="259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Customer Support</w:t>
            </w:r>
          </w:p>
        </w:tc>
        <w:tc>
          <w:tcPr>
            <w:tcW w:type="dxa" w:w="236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Support</w:t>
            </w:r>
          </w:p>
        </w:tc>
        <w:tc>
          <w:tcPr>
            <w:tcW w:type="dxa" w:w="236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r>
          </w:p>
        </w:tc>
        <w:tc>
          <w:tcPr>
            <w:tcW w:type="dxa" w:w="236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Support</w:t>
            </w:r>
          </w:p>
        </w:tc>
        <w:tc>
          <w:tcPr>
            <w:tcW w:type="dxa" w:w="236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Support</w:t>
            </w:r>
          </w:p>
        </w:tc>
        <w:tc>
          <w:tcPr>
            <w:tcW w:type="dxa" w:w="236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Support</w:t>
            </w:r>
          </w:p>
        </w:tc>
      </w:tr>
      <w:tr>
        <w:trPr>
          <w:cantSplit/>
        </w:trPr>
        <w:tc>
          <w:tcPr>
            <w:tcW w:type="dxa" w:w="259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Corporate Training</w:t>
            </w:r>
          </w:p>
        </w:tc>
        <w:tc>
          <w:tcPr>
            <w:tcW w:type="dxa" w:w="236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r>
          </w:p>
        </w:tc>
        <w:tc>
          <w:tcPr>
            <w:tcW w:type="dxa" w:w="236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r>
          </w:p>
        </w:tc>
        <w:tc>
          <w:tcPr>
            <w:tcW w:type="dxa" w:w="236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Support</w:t>
            </w:r>
          </w:p>
        </w:tc>
        <w:tc>
          <w:tcPr>
            <w:tcW w:type="dxa" w:w="236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r>
          </w:p>
        </w:tc>
        <w:tc>
          <w:tcPr>
            <w:tcW w:type="dxa" w:w="236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Support</w:t>
            </w:r>
          </w:p>
        </w:tc>
      </w:tr>
    </w:tbl>
    <w:p>
      <w:pPr>
        <w:spacing w:after="40"/>
      </w:pPr>
    </w:p>
    <w:p>
      <w:pPr>
        <w:pStyle w:val="Heading1"/>
        <w:keepNext/>
        <w:keepLines/>
        <w:pageBreakBefore/>
      </w:pPr>
      <w:r>
        <w:t>Next Two Weeks</w:t>
      </w:r>
    </w:p>
    <w:p>
      <w:r>
        <w:rPr>
          <w:rFonts w:ascii="Arial" w:hAnsi="Arial"/>
          <w:sz w:val="19"/>
        </w:rPr>
        <w:t>Use this short register during the weekly meeting. Include only work that is active, starting soon, at risk, or blocked. Complete and Not Needed activities do not appear here.</w:t>
      </w:r>
    </w:p>
    <w:tbl>
      <w:tblPr>
        <w:tblW w:type="auto" w:w="0"/>
        <w:jc w:val="center"/>
        <w:tblLayout w:type="fixed"/>
        <w:tblLook w:firstColumn="1" w:firstRow="1" w:lastColumn="0" w:lastRow="0" w:noHBand="0" w:noVBand="1" w:val="04A0"/>
      </w:tblPr>
      <w:tblGrid>
        <w:gridCol w:w="1800"/>
        <w:gridCol w:w="864"/>
        <w:gridCol w:w="3744"/>
        <w:gridCol w:w="1440"/>
        <w:gridCol w:w="1440"/>
        <w:gridCol w:w="2304"/>
        <w:gridCol w:w="2808"/>
      </w:tblGrid>
      <w:tr>
        <w:trPr>
          <w:cantSplit/>
          <w:tblHeader w:val="true"/>
        </w:trPr>
        <w:tc>
          <w:tcPr>
            <w:tcW w:type="dxa" w:w="180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6"/>
              </w:rPr>
              <w:t>Team</w:t>
            </w:r>
          </w:p>
        </w:tc>
        <w:tc>
          <w:tcPr>
            <w:tcW w:type="dxa" w:w="86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6"/>
              </w:rPr>
              <w:t>ID</w:t>
            </w:r>
          </w:p>
        </w:tc>
        <w:tc>
          <w:tcPr>
            <w:tcW w:type="dxa" w:w="374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6"/>
              </w:rPr>
              <w:t>Activity</w:t>
            </w:r>
          </w:p>
        </w:tc>
        <w:tc>
          <w:tcPr>
            <w:tcW w:type="dxa" w:w="14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6"/>
              </w:rPr>
              <w:t>Owner</w:t>
            </w:r>
          </w:p>
        </w:tc>
        <w:tc>
          <w:tcPr>
            <w:tcW w:type="dxa" w:w="14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6"/>
              </w:rPr>
              <w:t>Status</w:t>
            </w:r>
          </w:p>
        </w:tc>
        <w:tc>
          <w:tcPr>
            <w:tcW w:type="dxa" w:w="230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6"/>
              </w:rPr>
              <w:t>Next Action</w:t>
            </w:r>
          </w:p>
        </w:tc>
        <w:tc>
          <w:tcPr>
            <w:tcW w:type="dxa" w:w="280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6"/>
              </w:rPr>
              <w:t>Blocker or Decision Needed</w:t>
            </w:r>
          </w:p>
        </w:tc>
      </w:tr>
      <w:tr>
        <w:trPr>
          <w:cantSplit/>
        </w:trPr>
        <w:tc>
          <w:tcPr>
            <w:tcW w:type="dxa" w:w="180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c>
          <w:tcPr>
            <w:tcW w:type="dxa" w:w="86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7"/>
              </w:rPr>
            </w:r>
          </w:p>
        </w:tc>
        <w:tc>
          <w:tcPr>
            <w:tcW w:type="dxa" w:w="374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c>
          <w:tcPr>
            <w:tcW w:type="dxa" w:w="14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c>
          <w:tcPr>
            <w:tcW w:type="dxa" w:w="14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7"/>
              </w:rPr>
            </w:r>
          </w:p>
        </w:tc>
        <w:tc>
          <w:tcPr>
            <w:tcW w:type="dxa" w:w="230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c>
          <w:tcPr>
            <w:tcW w:type="dxa" w:w="280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r>
      <w:tr>
        <w:trPr>
          <w:cantSplit/>
        </w:trPr>
        <w:tc>
          <w:tcPr>
            <w:tcW w:type="dxa" w:w="180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r>
          </w:p>
        </w:tc>
        <w:tc>
          <w:tcPr>
            <w:tcW w:type="dxa" w:w="86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7"/>
              </w:rPr>
            </w:r>
          </w:p>
        </w:tc>
        <w:tc>
          <w:tcPr>
            <w:tcW w:type="dxa" w:w="374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r>
          </w:p>
        </w:tc>
        <w:tc>
          <w:tcPr>
            <w:tcW w:type="dxa" w:w="14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r>
          </w:p>
        </w:tc>
        <w:tc>
          <w:tcPr>
            <w:tcW w:type="dxa" w:w="14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7"/>
              </w:rPr>
            </w:r>
          </w:p>
        </w:tc>
        <w:tc>
          <w:tcPr>
            <w:tcW w:type="dxa" w:w="230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r>
          </w:p>
        </w:tc>
        <w:tc>
          <w:tcPr>
            <w:tcW w:type="dxa" w:w="280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r>
          </w:p>
        </w:tc>
      </w:tr>
      <w:tr>
        <w:trPr>
          <w:cantSplit/>
        </w:trPr>
        <w:tc>
          <w:tcPr>
            <w:tcW w:type="dxa" w:w="180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c>
          <w:tcPr>
            <w:tcW w:type="dxa" w:w="86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7"/>
              </w:rPr>
            </w:r>
          </w:p>
        </w:tc>
        <w:tc>
          <w:tcPr>
            <w:tcW w:type="dxa" w:w="374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c>
          <w:tcPr>
            <w:tcW w:type="dxa" w:w="14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c>
          <w:tcPr>
            <w:tcW w:type="dxa" w:w="14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7"/>
              </w:rPr>
            </w:r>
          </w:p>
        </w:tc>
        <w:tc>
          <w:tcPr>
            <w:tcW w:type="dxa" w:w="230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c>
          <w:tcPr>
            <w:tcW w:type="dxa" w:w="280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r>
      <w:tr>
        <w:trPr>
          <w:cantSplit/>
        </w:trPr>
        <w:tc>
          <w:tcPr>
            <w:tcW w:type="dxa" w:w="180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r>
          </w:p>
        </w:tc>
        <w:tc>
          <w:tcPr>
            <w:tcW w:type="dxa" w:w="86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7"/>
              </w:rPr>
            </w:r>
          </w:p>
        </w:tc>
        <w:tc>
          <w:tcPr>
            <w:tcW w:type="dxa" w:w="374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r>
          </w:p>
        </w:tc>
        <w:tc>
          <w:tcPr>
            <w:tcW w:type="dxa" w:w="14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r>
          </w:p>
        </w:tc>
        <w:tc>
          <w:tcPr>
            <w:tcW w:type="dxa" w:w="14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7"/>
              </w:rPr>
            </w:r>
          </w:p>
        </w:tc>
        <w:tc>
          <w:tcPr>
            <w:tcW w:type="dxa" w:w="230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r>
          </w:p>
        </w:tc>
        <w:tc>
          <w:tcPr>
            <w:tcW w:type="dxa" w:w="280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r>
          </w:p>
        </w:tc>
      </w:tr>
      <w:tr>
        <w:trPr>
          <w:cantSplit/>
        </w:trPr>
        <w:tc>
          <w:tcPr>
            <w:tcW w:type="dxa" w:w="180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c>
          <w:tcPr>
            <w:tcW w:type="dxa" w:w="86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7"/>
              </w:rPr>
            </w:r>
          </w:p>
        </w:tc>
        <w:tc>
          <w:tcPr>
            <w:tcW w:type="dxa" w:w="374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c>
          <w:tcPr>
            <w:tcW w:type="dxa" w:w="14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c>
          <w:tcPr>
            <w:tcW w:type="dxa" w:w="14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7"/>
              </w:rPr>
            </w:r>
          </w:p>
        </w:tc>
        <w:tc>
          <w:tcPr>
            <w:tcW w:type="dxa" w:w="230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c>
          <w:tcPr>
            <w:tcW w:type="dxa" w:w="280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r>
      <w:tr>
        <w:trPr>
          <w:cantSplit/>
        </w:trPr>
        <w:tc>
          <w:tcPr>
            <w:tcW w:type="dxa" w:w="180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r>
          </w:p>
        </w:tc>
        <w:tc>
          <w:tcPr>
            <w:tcW w:type="dxa" w:w="86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7"/>
              </w:rPr>
            </w:r>
          </w:p>
        </w:tc>
        <w:tc>
          <w:tcPr>
            <w:tcW w:type="dxa" w:w="374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r>
          </w:p>
        </w:tc>
        <w:tc>
          <w:tcPr>
            <w:tcW w:type="dxa" w:w="14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r>
          </w:p>
        </w:tc>
        <w:tc>
          <w:tcPr>
            <w:tcW w:type="dxa" w:w="14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7"/>
              </w:rPr>
            </w:r>
          </w:p>
        </w:tc>
        <w:tc>
          <w:tcPr>
            <w:tcW w:type="dxa" w:w="230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r>
          </w:p>
        </w:tc>
        <w:tc>
          <w:tcPr>
            <w:tcW w:type="dxa" w:w="280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r>
          </w:p>
        </w:tc>
      </w:tr>
      <w:tr>
        <w:trPr>
          <w:cantSplit/>
        </w:trPr>
        <w:tc>
          <w:tcPr>
            <w:tcW w:type="dxa" w:w="180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c>
          <w:tcPr>
            <w:tcW w:type="dxa" w:w="86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7"/>
              </w:rPr>
            </w:r>
          </w:p>
        </w:tc>
        <w:tc>
          <w:tcPr>
            <w:tcW w:type="dxa" w:w="374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c>
          <w:tcPr>
            <w:tcW w:type="dxa" w:w="14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c>
          <w:tcPr>
            <w:tcW w:type="dxa" w:w="14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7"/>
              </w:rPr>
            </w:r>
          </w:p>
        </w:tc>
        <w:tc>
          <w:tcPr>
            <w:tcW w:type="dxa" w:w="230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c>
          <w:tcPr>
            <w:tcW w:type="dxa" w:w="280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r>
      <w:tr>
        <w:trPr>
          <w:cantSplit/>
        </w:trPr>
        <w:tc>
          <w:tcPr>
            <w:tcW w:type="dxa" w:w="180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r>
          </w:p>
        </w:tc>
        <w:tc>
          <w:tcPr>
            <w:tcW w:type="dxa" w:w="86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7"/>
              </w:rPr>
            </w:r>
          </w:p>
        </w:tc>
        <w:tc>
          <w:tcPr>
            <w:tcW w:type="dxa" w:w="374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r>
          </w:p>
        </w:tc>
        <w:tc>
          <w:tcPr>
            <w:tcW w:type="dxa" w:w="14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r>
          </w:p>
        </w:tc>
        <w:tc>
          <w:tcPr>
            <w:tcW w:type="dxa" w:w="14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7"/>
              </w:rPr>
            </w:r>
          </w:p>
        </w:tc>
        <w:tc>
          <w:tcPr>
            <w:tcW w:type="dxa" w:w="230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r>
          </w:p>
        </w:tc>
        <w:tc>
          <w:tcPr>
            <w:tcW w:type="dxa" w:w="280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r>
          </w:p>
        </w:tc>
      </w:tr>
      <w:tr>
        <w:trPr>
          <w:cantSplit/>
        </w:trPr>
        <w:tc>
          <w:tcPr>
            <w:tcW w:type="dxa" w:w="180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c>
          <w:tcPr>
            <w:tcW w:type="dxa" w:w="86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7"/>
              </w:rPr>
            </w:r>
          </w:p>
        </w:tc>
        <w:tc>
          <w:tcPr>
            <w:tcW w:type="dxa" w:w="374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c>
          <w:tcPr>
            <w:tcW w:type="dxa" w:w="14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c>
          <w:tcPr>
            <w:tcW w:type="dxa" w:w="14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7"/>
              </w:rPr>
            </w:r>
          </w:p>
        </w:tc>
        <w:tc>
          <w:tcPr>
            <w:tcW w:type="dxa" w:w="230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c>
          <w:tcPr>
            <w:tcW w:type="dxa" w:w="280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r>
      <w:tr>
        <w:trPr>
          <w:cantSplit/>
        </w:trPr>
        <w:tc>
          <w:tcPr>
            <w:tcW w:type="dxa" w:w="180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r>
          </w:p>
        </w:tc>
        <w:tc>
          <w:tcPr>
            <w:tcW w:type="dxa" w:w="86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7"/>
              </w:rPr>
            </w:r>
          </w:p>
        </w:tc>
        <w:tc>
          <w:tcPr>
            <w:tcW w:type="dxa" w:w="374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r>
          </w:p>
        </w:tc>
        <w:tc>
          <w:tcPr>
            <w:tcW w:type="dxa" w:w="14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r>
          </w:p>
        </w:tc>
        <w:tc>
          <w:tcPr>
            <w:tcW w:type="dxa" w:w="14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7"/>
              </w:rPr>
            </w:r>
          </w:p>
        </w:tc>
        <w:tc>
          <w:tcPr>
            <w:tcW w:type="dxa" w:w="230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r>
          </w:p>
        </w:tc>
        <w:tc>
          <w:tcPr>
            <w:tcW w:type="dxa" w:w="280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r>
          </w:p>
        </w:tc>
      </w:tr>
    </w:tbl>
    <w:p>
      <w:pPr>
        <w:spacing w:after="40"/>
      </w:pPr>
    </w:p>
    <w:p>
      <w:pPr>
        <w:pStyle w:val="Heading1"/>
        <w:keepNext/>
        <w:keepLines/>
        <w:pageBreakBefore/>
      </w:pPr>
      <w:r>
        <w:t>Detailed Team Schedule</w:t>
      </w:r>
    </w:p>
    <w:p>
      <w:r>
        <w:rPr>
          <w:rFonts w:ascii="Arial" w:hAnsi="Arial"/>
          <w:sz w:val="19"/>
        </w:rPr>
        <w:t>Work items are grouped by accountable team. Update Status here, and use the Next Two Weeks register for active next actions and blockers. The Complete When column carries the major checklist coverage that was consolidated from the detailed source plan.</w:t>
      </w:r>
    </w:p>
    <w:p>
      <w:pPr>
        <w:pStyle w:val="Heading2"/>
        <w:keepNext/>
        <w:keepLines/>
      </w:pPr>
      <w:r>
        <w:t>Digital</w:t>
      </w:r>
    </w:p>
    <w:p>
      <w:pPr>
        <w:keepNext/>
      </w:pPr>
      <w:r>
        <w:rPr>
          <w:rFonts w:ascii="Arial" w:hAnsi="Arial"/>
          <w:b/>
          <w:sz w:val="17"/>
        </w:rPr>
        <w:t xml:space="preserve">Primary focus  </w:t>
      </w:r>
      <w:r>
        <w:rPr>
          <w:rFonts w:ascii="Arial" w:hAnsi="Arial"/>
          <w:color w:val="44546A"/>
          <w:sz w:val="17"/>
        </w:rPr>
        <w:t>Program coordination, digital-channel decisions, governance, dependencies, release management, and project closure.</w:t>
      </w:r>
    </w:p>
    <w:p>
      <w:pPr>
        <w:keepNext/>
      </w:pPr>
      <w:r>
        <w:rPr>
          <w:rFonts w:ascii="Arial" w:hAnsi="Arial"/>
          <w:i/>
          <w:color w:val="44546A"/>
          <w:sz w:val="17"/>
        </w:rPr>
        <w:t>Weeks 1 through 19   8 work items</w:t>
      </w:r>
    </w:p>
    <w:tbl>
      <w:tblPr>
        <w:tblW w:type="auto" w:w="0"/>
        <w:jc w:val="center"/>
        <w:tblLayout w:type="fixed"/>
        <w:tblLook w:firstColumn="1" w:firstRow="1" w:lastColumn="0" w:lastRow="0" w:noHBand="0" w:noVBand="1" w:val="04A0"/>
      </w:tblPr>
      <w:tblGrid>
        <w:gridCol w:w="648"/>
        <w:gridCol w:w="3240"/>
        <w:gridCol w:w="1296"/>
        <w:gridCol w:w="1296"/>
        <w:gridCol w:w="648"/>
        <w:gridCol w:w="1080"/>
        <w:gridCol w:w="1296"/>
        <w:gridCol w:w="4896"/>
      </w:tblGrid>
      <w:tr>
        <w:trPr>
          <w:cantSplit/>
          <w:tblHeader w:val="true"/>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5"/>
              </w:rPr>
              <w:t>ID</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5"/>
              </w:rPr>
              <w:t>Work Item</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5"/>
              </w:rPr>
              <w:t>Owner</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5"/>
              </w:rPr>
              <w:t>Partners</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5"/>
              </w:rPr>
              <w:t>CP</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5"/>
              </w:rPr>
              <w:t>Due</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5"/>
              </w:rPr>
              <w:t>Status</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5"/>
              </w:rPr>
              <w:t>Complete When</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D.1</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Establish sponsorship, governance, and delivery team</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Digital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All Teams</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CP1</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Jun 19</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Sponsor, PM, team leads, vendor contacts, meeting cadence, decision log, and RAID process are confirmed.</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D.2</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Approve the Release 1 scope and schedule baseline</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Digital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Product; Vendor</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CP1</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Jun 26</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In-scope outcomes, exclusions, launch approach, checkpoints, owners, and October 5 target are approved.</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D.3</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Manage risks, decisions, dependencies, and status</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Project Manager</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All Teams</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CP3</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Oct 2</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Cross-team risks and decisions are current; unresolved items have an owner, action, and due date.</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D.4</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Build the integrated readiness and cutover plan</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Project Manager</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Technology; Vendor; Product</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CP3</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Sep 25</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Cutover sequence, communications, validation, support, rollback, and command-center responsibilities are documented.</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D.5</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Complete the final Go or No Go review</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Sponsor</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All Teams</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CP3</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Oct 2</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Every Release 1 readiness work item is complete or formally accepted, with approval recorded by Friday, October 2.</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D.6</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Coordinate Release 1 activation</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Digital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Technology; Vendor; Product</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CP4</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Oct 5</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Production activation and validation complete on October 5, with executive status and issue ownership communicated.</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D.7</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Close Release 1 and transition to business as usual</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Project Manager</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Customer Support; Product</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CP4</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Oct 16</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Launch issues are resolved or transferred, support ownership is accepted, and lessons learned are captured.</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D.8</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Confirm the Release 2 planning process and owners</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Digital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Product; All Teams</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CP5</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Oct 23</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Release 2 planning owners, decision process, dependencies, and target timing are documented.</w:t>
            </w:r>
          </w:p>
        </w:tc>
      </w:tr>
    </w:tbl>
    <w:p>
      <w:pPr>
        <w:spacing w:after="40"/>
      </w:pPr>
    </w:p>
    <w:p>
      <w:pPr>
        <w:pStyle w:val="Heading2"/>
        <w:keepNext/>
        <w:keepLines/>
      </w:pPr>
      <w:r>
        <w:t>Product</w:t>
      </w:r>
    </w:p>
    <w:p>
      <w:pPr>
        <w:keepNext/>
      </w:pPr>
      <w:r>
        <w:rPr>
          <w:rFonts w:ascii="Arial" w:hAnsi="Arial"/>
          <w:b/>
          <w:sz w:val="17"/>
        </w:rPr>
        <w:t xml:space="preserve">Primary focus  </w:t>
      </w:r>
      <w:r>
        <w:rPr>
          <w:rFonts w:ascii="Arial" w:hAnsi="Arial"/>
          <w:color w:val="44546A"/>
          <w:sz w:val="17"/>
        </w:rPr>
        <w:t>Scope, requirements, customer experience, business acceptance, launch health, and the Release 2 roadmap.</w:t>
      </w:r>
    </w:p>
    <w:p>
      <w:pPr>
        <w:keepNext/>
      </w:pPr>
      <w:r>
        <w:rPr>
          <w:rFonts w:ascii="Arial" w:hAnsi="Arial"/>
          <w:i/>
          <w:color w:val="44546A"/>
          <w:sz w:val="17"/>
        </w:rPr>
        <w:t>Weeks 1 through 19   10 work items</w:t>
      </w:r>
    </w:p>
    <w:tbl>
      <w:tblPr>
        <w:tblW w:type="auto" w:w="0"/>
        <w:jc w:val="center"/>
        <w:tblLayout w:type="fixed"/>
        <w:tblLook w:firstColumn="1" w:firstRow="1" w:lastColumn="0" w:lastRow="0" w:noHBand="0" w:noVBand="1" w:val="04A0"/>
      </w:tblPr>
      <w:tblGrid>
        <w:gridCol w:w="648"/>
        <w:gridCol w:w="3240"/>
        <w:gridCol w:w="1296"/>
        <w:gridCol w:w="1296"/>
        <w:gridCol w:w="648"/>
        <w:gridCol w:w="1080"/>
        <w:gridCol w:w="1296"/>
        <w:gridCol w:w="4896"/>
      </w:tblGrid>
      <w:tr>
        <w:trPr>
          <w:cantSplit/>
          <w:tblHeader w:val="true"/>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5"/>
              </w:rPr>
              <w:t>ID</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5"/>
              </w:rPr>
              <w:t>Work Item</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5"/>
              </w:rPr>
              <w:t>Owner</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5"/>
              </w:rPr>
              <w:t>Partners</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5"/>
              </w:rPr>
              <w:t>CP</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5"/>
              </w:rPr>
              <w:t>Due</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5"/>
              </w:rPr>
              <w:t>Status</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5"/>
              </w:rPr>
              <w:t>Complete When</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P.1</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Define Release 1 capabilities, exclusions, and target customers</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Product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Digital; Marketing</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CP1</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Jun 26</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First-release capabilities, eligibility, value proposition, customer segments, and out-of-scope items are approved.</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P.2</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Approve the web and mobile customer journeys</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Product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Digital; Technology</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CP1</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Jul 10</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OLB and mobile entry points, navigation, enrollment, returning-user experience, and responsive behavior are approved.</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P.3</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Approve consent, disclosure, error, and support experiences</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Product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Compliance; Customer Support</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CP1</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Jul 17</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Consent and disclosure placement, terms, error states, support links, and escalation experience are approved.</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P.4</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Complete legal, compliance, and privacy approval</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Compliance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Legal; Privacy; Marketing</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CP1</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Jul 24</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Required legal, FCRA, Reg V, privacy, terms, disclosures, consent, and marketing-claim reviews are complete.</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P.5</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Define UAT participants, scenarios, and acceptance criteria</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Product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Business Users; Customer Support</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CP3</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Aug 21</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UAT covers complete customer and employee journeys, operational handling, content, devices, browsers, and accessibility.</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P.6</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Prepare UAT users, accounts, instructions, and environment</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Product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Technology; Vendor</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CP3</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Sep 4</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Participants can access the environment, test accounts and data are ready, and scripts and issue logging are understood.</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P.7</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Execute end-to-end UAT</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UAT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Business Users; Support; Marketing</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CP3</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Sep 18</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Business users validate web and mobile journeys, browsers, accessibility, content, support paths, analytics, and failure handling.</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P.8</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Resolve UAT issues and obtain business signoff</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Product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Technology; Vendor</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CP3</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Sep 25</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Critical UAT issues are corrected and retested; remaining issues are accepted with owners and dates; signoff is recorded.</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P.9</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Confirm product acceptance for Release 1</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Product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Digital; Marketing</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CP3</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Oct 2</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Approved experience, capabilities, disclosures, content, and UAT results are ready for the October 5 launch.</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P.10</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Prioritize Release 2 outcomes and scope</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Product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All Teams</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CP5</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Oct 23</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Release 1 feedback and results are reviewed and the Release 2 scope, measures, dependencies, and priorities are agreed.</w:t>
            </w:r>
          </w:p>
        </w:tc>
      </w:tr>
    </w:tbl>
    <w:p>
      <w:pPr>
        <w:spacing w:after="40"/>
      </w:pPr>
    </w:p>
    <w:p>
      <w:pPr>
        <w:pStyle w:val="Heading2"/>
        <w:keepNext/>
        <w:keepLines/>
      </w:pPr>
      <w:r>
        <w:t>Marketing</w:t>
      </w:r>
    </w:p>
    <w:p>
      <w:pPr>
        <w:keepNext/>
      </w:pPr>
      <w:r>
        <w:rPr>
          <w:rFonts w:ascii="Arial" w:hAnsi="Arial"/>
          <w:b/>
          <w:sz w:val="17"/>
        </w:rPr>
        <w:t xml:space="preserve">Primary focus  </w:t>
      </w:r>
      <w:r>
        <w:rPr>
          <w:rFonts w:ascii="Arial" w:hAnsi="Arial"/>
          <w:color w:val="44546A"/>
          <w:sz w:val="17"/>
        </w:rPr>
        <w:t>Launch strategy, promotional placement, customer and employee communications, campaign readiness, and market activation.</w:t>
      </w:r>
    </w:p>
    <w:p>
      <w:pPr>
        <w:keepNext/>
      </w:pPr>
      <w:r>
        <w:rPr>
          <w:rFonts w:ascii="Arial" w:hAnsi="Arial"/>
          <w:i/>
          <w:color w:val="44546A"/>
          <w:sz w:val="17"/>
        </w:rPr>
        <w:t>Weeks 4 through 19   7 work items</w:t>
      </w:r>
    </w:p>
    <w:tbl>
      <w:tblPr>
        <w:tblW w:type="auto" w:w="0"/>
        <w:jc w:val="center"/>
        <w:tblLayout w:type="fixed"/>
        <w:tblLook w:firstColumn="1" w:firstRow="1" w:lastColumn="0" w:lastRow="0" w:noHBand="0" w:noVBand="1" w:val="04A0"/>
      </w:tblPr>
      <w:tblGrid>
        <w:gridCol w:w="648"/>
        <w:gridCol w:w="3240"/>
        <w:gridCol w:w="1296"/>
        <w:gridCol w:w="1296"/>
        <w:gridCol w:w="648"/>
        <w:gridCol w:w="1080"/>
        <w:gridCol w:w="1296"/>
        <w:gridCol w:w="4896"/>
      </w:tblGrid>
      <w:tr>
        <w:trPr>
          <w:cantSplit/>
          <w:tblHeader w:val="true"/>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5"/>
              </w:rPr>
              <w:t>ID</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5"/>
              </w:rPr>
              <w:t>Work Item</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5"/>
              </w:rPr>
              <w:t>Owner</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5"/>
              </w:rPr>
              <w:t>Partners</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5"/>
              </w:rPr>
              <w:t>CP</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5"/>
              </w:rPr>
              <w:t>Due</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5"/>
              </w:rPr>
              <w:t>Status</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5"/>
              </w:rPr>
              <w:t>Complete When</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M.1</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Approve the launch communication and promotion strategy</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Marketing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Product; Compliance</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CP1</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Jul 24</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Audiences, channels, offers, promotional entry points, messaging, claims, and approval path are confirmed.</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M.2</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Create and approve OLB and mobile promotional content</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Marketing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Product; Compliance</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CP3</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Sep 4</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OLB and mobile placements, copy, creative, calls to action, and required disclosures are approved.</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M.3</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Create and approve customer email and web content</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Marketing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Product; Compliance</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CP3</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Sep 11</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Customer email, website or intranet content, FAQs, links, and legal language are final.</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M.4</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Prepare employee and internal communications</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Internal Communications</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Customer Support; Corporate Training</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CP3</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Sep 11</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Employee messaging, launch guidance, escalation contacts, and timing are approved.</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M.5</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Schedule and validate all Release 1 communications</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Marketing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Digital; Technology</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CP3</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Oct 2</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Every launch communication and promotion is scheduled, links are tested, owners are confirmed, and final approval is recorded by October 2.</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M.6</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Activate and verify launch communications</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Marketing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Digital</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CP4</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Oct 5</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Approved OLB, mobile, email, web, and employee communications activate on October 5 and are verified.</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M.7</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Identify Release 2 communication needs</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Marketing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Product</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CP5</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Oct 23</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Release 2 audience, channel, content, compliance, and lead-time considerations are documented.</w:t>
            </w:r>
          </w:p>
        </w:tc>
      </w:tr>
    </w:tbl>
    <w:p>
      <w:pPr>
        <w:spacing w:after="40"/>
      </w:pPr>
    </w:p>
    <w:p>
      <w:pPr>
        <w:pStyle w:val="Heading2"/>
        <w:keepNext/>
        <w:keepLines/>
      </w:pPr>
      <w:r>
        <w:t>Technology</w:t>
      </w:r>
    </w:p>
    <w:p>
      <w:pPr>
        <w:keepNext/>
      </w:pPr>
      <w:r>
        <w:rPr>
          <w:rFonts w:ascii="Arial" w:hAnsi="Arial"/>
          <w:b/>
          <w:sz w:val="17"/>
        </w:rPr>
        <w:t xml:space="preserve">Primary focus  </w:t>
      </w:r>
      <w:r>
        <w:rPr>
          <w:rFonts w:ascii="Arial" w:hAnsi="Arial"/>
          <w:color w:val="44546A"/>
          <w:sz w:val="17"/>
        </w:rPr>
        <w:t>Architecture, security, environments, single sign on, integration, configuration, monitoring, and production deployment.</w:t>
      </w:r>
    </w:p>
    <w:p>
      <w:pPr>
        <w:keepNext/>
      </w:pPr>
      <w:r>
        <w:rPr>
          <w:rFonts w:ascii="Arial" w:hAnsi="Arial"/>
          <w:i/>
          <w:color w:val="44546A"/>
          <w:sz w:val="17"/>
        </w:rPr>
        <w:t>Weeks 2 through 19   10 work items</w:t>
      </w:r>
    </w:p>
    <w:tbl>
      <w:tblPr>
        <w:tblW w:type="auto" w:w="0"/>
        <w:jc w:val="center"/>
        <w:tblLayout w:type="fixed"/>
        <w:tblLook w:firstColumn="1" w:firstRow="1" w:lastColumn="0" w:lastRow="0" w:noHBand="0" w:noVBand="1" w:val="04A0"/>
      </w:tblPr>
      <w:tblGrid>
        <w:gridCol w:w="648"/>
        <w:gridCol w:w="3240"/>
        <w:gridCol w:w="1296"/>
        <w:gridCol w:w="1296"/>
        <w:gridCol w:w="648"/>
        <w:gridCol w:w="1080"/>
        <w:gridCol w:w="1296"/>
        <w:gridCol w:w="4896"/>
      </w:tblGrid>
      <w:tr>
        <w:trPr>
          <w:cantSplit/>
          <w:tblHeader w:val="true"/>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5"/>
              </w:rPr>
              <w:t>ID</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5"/>
              </w:rPr>
              <w:t>Work Item</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5"/>
              </w:rPr>
              <w:t>Owner</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5"/>
              </w:rPr>
              <w:t>Partners</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5"/>
              </w:rPr>
              <w:t>CP</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5"/>
              </w:rPr>
              <w:t>Due</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5"/>
              </w:rPr>
              <w:t>Status</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5"/>
              </w:rPr>
              <w:t>Complete When</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T.1</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Document the current Fiserv OLB technical environment</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Technology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Vendor</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CP1</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Jul 3</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OLB version, web and mobile architecture, environments, URLs, authentication, customer identifiers, and constraints are documented.</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T.2</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Approve the integration, SSO, mobile, and data-flow design</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Architecture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Vendor; Product</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CP1</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Jul 10</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Integration method, SSO, enrollment, mobile, data transmission, error handling, and support flows are approved.</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T.4</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Confirm test and production environments</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Technology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Vendor</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CP1</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Jul 24</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Environment access, URLs, versions, credentials, production monitoring, and support contacts are confirmed.</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T.3</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Complete architecture, security, and privacy reviews</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Security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Privacy; Vendor</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CP1</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Jul 24</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Encryption, storage, retention, vendor controls, logging, monitoring, and security findings are approved or resolved.</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T.5</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Configure the client integration and digital entry points</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Technology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Vendor; Product</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CP2</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Aug 7</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SSO, OLB and mobile navigation, entitlements, enrollment, disclosures, branding, and support links are configured.</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T.6</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Configure monitoring, logging, analytics hooks, and alerts</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Technology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Data/Analytics; Vendor</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CP2</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Aug 7</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Production-ready logs, alerts, dashboards, event tracking, and escalation thresholds are configured.</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T.7</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Resolve functional QA and UAT defects</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Technology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Vendor; QA; Product</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CP3</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Sep 25</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Technology defects are triaged, corrected, deployed, and made available for functional QA or UAT retest.</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T.8</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Approve production change, cutover, rollback, and validation plans</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Technology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Digital; Vendor; Product</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CP3</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Oct 2</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Production configuration, change approval, runbook, rollback steps, validation script, and support coverage are complete by October 2.</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T.9</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Deploy and validate the production integration</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Technology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Vendor; Product</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CP4</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Oct 5</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Production deployment, SSO, entry points, entitlements, monitoring, and smoke validation succeed on October 5.</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T.10</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Assess Release 2 architecture and delivery dependencies</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Architecture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Vendor; Product</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CP5</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Oct 23</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Release 2 technical changes, estimates, risks, environments, security needs, and sequencing are documented.</w:t>
            </w:r>
          </w:p>
        </w:tc>
      </w:tr>
    </w:tbl>
    <w:p>
      <w:pPr>
        <w:spacing w:after="40"/>
      </w:pPr>
    </w:p>
    <w:p>
      <w:pPr>
        <w:pStyle w:val="Heading2"/>
        <w:keepNext/>
        <w:keepLines/>
      </w:pPr>
      <w:r>
        <w:t>Vendor</w:t>
      </w:r>
    </w:p>
    <w:p>
      <w:pPr>
        <w:keepNext/>
      </w:pPr>
      <w:r>
        <w:rPr>
          <w:rFonts w:ascii="Arial" w:hAnsi="Arial"/>
          <w:b/>
          <w:sz w:val="17"/>
        </w:rPr>
        <w:t xml:space="preserve">Primary focus  </w:t>
      </w:r>
      <w:r>
        <w:rPr>
          <w:rFonts w:ascii="Arial" w:hAnsi="Arial"/>
          <w:color w:val="44546A"/>
          <w:sz w:val="17"/>
        </w:rPr>
        <w:t>Fiserv and SavvyMoney contracting, configuration, dependencies, service commitments, testing support, and delivery estimates.</w:t>
      </w:r>
    </w:p>
    <w:p>
      <w:pPr>
        <w:keepNext/>
      </w:pPr>
      <w:r>
        <w:rPr>
          <w:rFonts w:ascii="Arial" w:hAnsi="Arial"/>
          <w:i/>
          <w:color w:val="44546A"/>
          <w:sz w:val="17"/>
        </w:rPr>
        <w:t>Weeks 1 through 19   9 work items</w:t>
      </w:r>
    </w:p>
    <w:tbl>
      <w:tblPr>
        <w:tblW w:type="auto" w:w="0"/>
        <w:jc w:val="center"/>
        <w:tblLayout w:type="fixed"/>
        <w:tblLook w:firstColumn="1" w:firstRow="1" w:lastColumn="0" w:lastRow="0" w:noHBand="0" w:noVBand="1" w:val="04A0"/>
      </w:tblPr>
      <w:tblGrid>
        <w:gridCol w:w="648"/>
        <w:gridCol w:w="3240"/>
        <w:gridCol w:w="1296"/>
        <w:gridCol w:w="1296"/>
        <w:gridCol w:w="648"/>
        <w:gridCol w:w="1080"/>
        <w:gridCol w:w="1296"/>
        <w:gridCol w:w="4896"/>
      </w:tblGrid>
      <w:tr>
        <w:trPr>
          <w:cantSplit/>
          <w:tblHeader w:val="true"/>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5"/>
              </w:rPr>
              <w:t>ID</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5"/>
              </w:rPr>
              <w:t>Work Item</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5"/>
              </w:rPr>
              <w:t>Owner</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5"/>
              </w:rPr>
              <w:t>Partners</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5"/>
              </w:rPr>
              <w:t>CP</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5"/>
              </w:rPr>
              <w:t>Due</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5"/>
              </w:rPr>
              <w:t>Status</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5"/>
              </w:rPr>
              <w:t>Complete When</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V.1</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Confirm Fiserv and SavvyMoney delivery contacts and roles</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Vendor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Digital</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CP1</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Jun 19</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Implementation, technical, testing, production, and support contacts and responsibilities are confirmed.</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V.2</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Complete contract, licensing, fees, SLA, and vendor-risk review</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Vendor Manager</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Legal; Procurement</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CP1</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Jul 10</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Licensed capabilities, fees, service commitments, data responsibilities, and vendor-risk requirements are approved.</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V.3</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Confirm the joint solution design and implementation plan</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Vendor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Technology; Product</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CP1</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Jul 17</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Fiserv and SavvyMoney agree on integration, SSO, environments, responsibilities, dependencies, and delivery dates.</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V.4</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Provision and verify nonproduction environments</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Vendor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Technology</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CP2</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Jul 17</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Fiserv and SavvyMoney test configurations are accessible and support the approved solution design.</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V.5</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Complete vendor configuration and integration support</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Vendor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Technology</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CP2</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Aug 7</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Vendor-side branding, SSO, enrollment, data mapping, navigation, entitlements, disclosures, and connectivity are complete.</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V.6</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Support testing and resolve vendor defects</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Vendor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QA; Product; Technology</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CP3</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Sep 25</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Vendor defects from functional QA and UAT are resolved or formally accepted with owners and delivery dates.</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V.7</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Confirm production configuration and support readiness</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Vendor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Technology; Customer Support</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CP3</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Oct 2</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Production settings, URLs, entitlements, contacts, escalation paths, monitoring, and launch coverage are confirmed by October 2.</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V.8</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Enable and support the production launch</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Vendor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Technology; Digital</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CP4</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Oct 5</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Vendor production enablement and launch support are complete on October 5, with critical issues resolved or owned.</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V.9</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Provide Release 2 capabilities, estimates, and lead times</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Vendor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Product; Technology</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CP5</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Oct 23</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Vendor feasibility, cost, estimates, dependencies, and lead times are documented for Release 2 decisions.</w:t>
            </w:r>
          </w:p>
        </w:tc>
      </w:tr>
    </w:tbl>
    <w:p>
      <w:pPr>
        <w:spacing w:after="40"/>
      </w:pPr>
    </w:p>
    <w:p>
      <w:pPr>
        <w:pStyle w:val="Heading2"/>
        <w:keepNext/>
        <w:keepLines/>
      </w:pPr>
      <w:r>
        <w:t>Data/Analytics</w:t>
      </w:r>
    </w:p>
    <w:p>
      <w:pPr>
        <w:keepNext/>
      </w:pPr>
      <w:r>
        <w:rPr>
          <w:rFonts w:ascii="Arial" w:hAnsi="Arial"/>
          <w:b/>
          <w:sz w:val="17"/>
        </w:rPr>
        <w:t xml:space="preserve">Primary focus  </w:t>
      </w:r>
      <w:r>
        <w:rPr>
          <w:rFonts w:ascii="Arial" w:hAnsi="Arial"/>
          <w:color w:val="44546A"/>
          <w:sz w:val="17"/>
        </w:rPr>
        <w:t>Customer data requirements, tracking, KPIs, dashboards, launch reporting, and Release 1 performance analysis.</w:t>
      </w:r>
    </w:p>
    <w:p>
      <w:pPr>
        <w:keepNext/>
      </w:pPr>
      <w:r>
        <w:rPr>
          <w:rFonts w:ascii="Arial" w:hAnsi="Arial"/>
          <w:i/>
          <w:color w:val="44546A"/>
          <w:sz w:val="17"/>
        </w:rPr>
        <w:t>Weeks 2 through 19   5 work items</w:t>
      </w:r>
    </w:p>
    <w:tbl>
      <w:tblPr>
        <w:tblW w:type="auto" w:w="0"/>
        <w:jc w:val="center"/>
        <w:tblLayout w:type="fixed"/>
        <w:tblLook w:firstColumn="1" w:firstRow="1" w:lastColumn="0" w:lastRow="0" w:noHBand="0" w:noVBand="1" w:val="04A0"/>
      </w:tblPr>
      <w:tblGrid>
        <w:gridCol w:w="648"/>
        <w:gridCol w:w="3240"/>
        <w:gridCol w:w="1296"/>
        <w:gridCol w:w="1296"/>
        <w:gridCol w:w="648"/>
        <w:gridCol w:w="1080"/>
        <w:gridCol w:w="1296"/>
        <w:gridCol w:w="4896"/>
      </w:tblGrid>
      <w:tr>
        <w:trPr>
          <w:cantSplit/>
          <w:tblHeader w:val="true"/>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5"/>
              </w:rPr>
              <w:t>ID</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5"/>
              </w:rPr>
              <w:t>Work Item</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5"/>
              </w:rPr>
              <w:t>Owner</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5"/>
              </w:rPr>
              <w:t>Partners</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5"/>
              </w:rPr>
              <w:t>CP</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5"/>
              </w:rPr>
              <w:t>Due</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5"/>
              </w:rPr>
              <w:t>Status</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5"/>
              </w:rPr>
              <w:t>Complete When</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A.1</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Define Release 1 KPIs and baseline measures</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Analytics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Product</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CP1</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Jul 24</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Enrollment, active use, navigation, SSO success, support contact, and engagement measures and baselines are approved.</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A.2</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Confirm customer data and analytics requirements</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Data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Technology; Vendor; Privacy</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CP1</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Jul 24</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Required customer attributes, data ownership, mapping, privacy controls, retention, and event definitions are approved.</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A.3</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Configure and validate analytics tracking</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Analytics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Technology; Product</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CP2</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Aug 7</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Required events and attributes are captured accurately in test and reconcile to the approved measurement framework.</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A.4</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Build and validate launch reporting</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Analytics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Product; Technology</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CP3</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Sep 25</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Launch dashboard, access, data refresh, thresholds, owners, and reporting cadence are tested and ready by September 25.</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A.5</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Monitor Release 1 results and inform Release 2</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Analytics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Product; Customer Support</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CP5</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Oct 23</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Early results, usage, failures, support demand, and customer feedback are summarized with Release 2 recommendations.</w:t>
            </w:r>
          </w:p>
        </w:tc>
      </w:tr>
    </w:tbl>
    <w:p>
      <w:pPr>
        <w:spacing w:after="40"/>
      </w:pPr>
    </w:p>
    <w:p>
      <w:pPr>
        <w:pStyle w:val="Heading2"/>
        <w:keepNext/>
        <w:keepLines/>
      </w:pPr>
      <w:r>
        <w:t>QA</w:t>
      </w:r>
    </w:p>
    <w:p>
      <w:pPr>
        <w:keepNext/>
      </w:pPr>
      <w:r>
        <w:rPr>
          <w:rFonts w:ascii="Arial" w:hAnsi="Arial"/>
          <w:b/>
          <w:sz w:val="17"/>
        </w:rPr>
        <w:t xml:space="preserve">Primary focus  </w:t>
      </w:r>
      <w:r>
        <w:rPr>
          <w:rFonts w:ascii="Arial" w:hAnsi="Arial"/>
          <w:color w:val="44546A"/>
          <w:sz w:val="17"/>
        </w:rPr>
        <w:t>Functional test planning, functional execution, defect retesting, regression, and functional signoff.</w:t>
      </w:r>
    </w:p>
    <w:p>
      <w:pPr>
        <w:keepNext/>
      </w:pPr>
      <w:r>
        <w:rPr>
          <w:rFonts w:ascii="Arial" w:hAnsi="Arial"/>
          <w:i/>
          <w:color w:val="44546A"/>
          <w:sz w:val="17"/>
        </w:rPr>
        <w:t>Weeks 6 through 12   5 work items</w:t>
      </w:r>
    </w:p>
    <w:tbl>
      <w:tblPr>
        <w:tblW w:type="auto" w:w="0"/>
        <w:jc w:val="center"/>
        <w:tblLayout w:type="fixed"/>
        <w:tblLook w:firstColumn="1" w:firstRow="1" w:lastColumn="0" w:lastRow="0" w:noHBand="0" w:noVBand="1" w:val="04A0"/>
      </w:tblPr>
      <w:tblGrid>
        <w:gridCol w:w="648"/>
        <w:gridCol w:w="3240"/>
        <w:gridCol w:w="1296"/>
        <w:gridCol w:w="1296"/>
        <w:gridCol w:w="648"/>
        <w:gridCol w:w="1080"/>
        <w:gridCol w:w="1296"/>
        <w:gridCol w:w="4896"/>
      </w:tblGrid>
      <w:tr>
        <w:trPr>
          <w:cantSplit/>
          <w:tblHeader w:val="true"/>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5"/>
              </w:rPr>
              <w:t>ID</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5"/>
              </w:rPr>
              <w:t>Work Item</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5"/>
              </w:rPr>
              <w:t>Owner</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5"/>
              </w:rPr>
              <w:t>Partners</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5"/>
              </w:rPr>
              <w:t>CP</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5"/>
              </w:rPr>
              <w:t>Due</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5"/>
              </w:rPr>
              <w:t>Status</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5"/>
              </w:rPr>
              <w:t>Complete When</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Q.1</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Define the functional QA plan and exit criteria</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QA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Product; Technology</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CP3</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Jul 31</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Functional cases, environments, data, severity rules, entry criteria, exit criteria, and defect workflow are approved.</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Q.2</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Prepare functional test accounts and data</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QA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Technology; Vendor</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CP3</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Jul 31</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Test accounts and data support new and returning users, eligibility, entitlements, enrollment, and failure scenarios.</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Q.3</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Execute functional QA</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QA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Technology; Vendor</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CP3</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Aug 14</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Core functions pass: SSO, enrollment, navigation, entitlements, customer-data mapping, disclosures, support links, and error handling.</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Q.4</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Retest functional defects and complete regression</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QA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Technology; Vendor</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CP3</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Aug 28</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Corrected functional defects pass retest and affected core functions pass regression.</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Q.5</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Provide functional QA signoff</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QA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Product</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CP3</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Sep 4</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No open critical functional defect remains and QA exit criteria are met before end-to-end UAT begins.</w:t>
            </w:r>
          </w:p>
        </w:tc>
      </w:tr>
    </w:tbl>
    <w:p>
      <w:pPr>
        <w:spacing w:after="40"/>
      </w:pPr>
    </w:p>
    <w:p>
      <w:pPr>
        <w:pStyle w:val="Heading2"/>
        <w:keepNext/>
        <w:keepLines/>
      </w:pPr>
      <w:r>
        <w:t>Customer Support</w:t>
      </w:r>
    </w:p>
    <w:p>
      <w:pPr>
        <w:keepNext/>
      </w:pPr>
      <w:r>
        <w:rPr>
          <w:rFonts w:ascii="Arial" w:hAnsi="Arial"/>
          <w:b/>
          <w:sz w:val="17"/>
        </w:rPr>
        <w:t xml:space="preserve">Primary focus  </w:t>
      </w:r>
      <w:r>
        <w:rPr>
          <w:rFonts w:ascii="Arial" w:hAnsi="Arial"/>
          <w:color w:val="44546A"/>
          <w:sz w:val="17"/>
        </w:rPr>
        <w:t>Support ownership, procedures, FAQs, escalation paths, operational readiness, monitoring, and business-as-usual handoff.</w:t>
      </w:r>
    </w:p>
    <w:p>
      <w:pPr>
        <w:keepNext/>
      </w:pPr>
      <w:r>
        <w:rPr>
          <w:rFonts w:ascii="Arial" w:hAnsi="Arial"/>
          <w:i/>
          <w:color w:val="44546A"/>
          <w:sz w:val="17"/>
        </w:rPr>
        <w:t>Weeks 5 through 18   5 work items</w:t>
      </w:r>
    </w:p>
    <w:tbl>
      <w:tblPr>
        <w:tblW w:type="auto" w:w="0"/>
        <w:jc w:val="center"/>
        <w:tblLayout w:type="fixed"/>
        <w:tblLook w:firstColumn="1" w:firstRow="1" w:lastColumn="0" w:lastRow="0" w:noHBand="0" w:noVBand="1" w:val="04A0"/>
      </w:tblPr>
      <w:tblGrid>
        <w:gridCol w:w="648"/>
        <w:gridCol w:w="3240"/>
        <w:gridCol w:w="1296"/>
        <w:gridCol w:w="1296"/>
        <w:gridCol w:w="648"/>
        <w:gridCol w:w="1080"/>
        <w:gridCol w:w="1296"/>
        <w:gridCol w:w="4896"/>
      </w:tblGrid>
      <w:tr>
        <w:trPr>
          <w:cantSplit/>
          <w:tblHeader w:val="true"/>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5"/>
              </w:rPr>
              <w:t>ID</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5"/>
              </w:rPr>
              <w:t>Work Item</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5"/>
              </w:rPr>
              <w:t>Owner</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5"/>
              </w:rPr>
              <w:t>Partners</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5"/>
              </w:rPr>
              <w:t>CP</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5"/>
              </w:rPr>
              <w:t>Due</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5"/>
              </w:rPr>
              <w:t>Status</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5"/>
              </w:rPr>
              <w:t>Complete When</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S.1</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Define the support model, ownership, and escalation paths</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Support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Digital; Vendor</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CP1</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Jul 24</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Level 1 ownership, Digital and vendor escalation, contacts, hours, severity handling, and service commitments are confirmed.</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S.2</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Prepare support procedures, scripts, FAQs, and job aids</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Support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Product; Corporate Training</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CP3</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Sep 4</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Known scenarios, call and branch scripts, FAQs, troubleshooting, escalation, and support documentation are approved.</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S.3</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Validate support workflows through UAT</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Support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Product; Vendor</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CP3</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Sep 18</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Support staff successfully handle representative enrollment, access, data, error, and escalation scenarios during UAT.</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S.4</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Confirm launch staffing and operational readiness</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Support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Digital; Vendor</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CP3</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Oct 2</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Staffing, contacts, scripts, job aids, escalation coverage, issue logging, and launch-day availability are confirmed by October 2.</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S.5</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Provide launch support and transition to business as usual</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Support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Digital; Data/Analytics</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CP4</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Oct 16</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Launch issues and support volumes are monitored, escalations are managed, and ongoing support ownership is accepted.</w:t>
            </w:r>
          </w:p>
        </w:tc>
      </w:tr>
    </w:tbl>
    <w:p>
      <w:pPr>
        <w:spacing w:after="40"/>
      </w:pPr>
    </w:p>
    <w:p>
      <w:pPr>
        <w:pStyle w:val="Heading2"/>
        <w:keepNext/>
        <w:keepLines/>
      </w:pPr>
      <w:r>
        <w:t>Corporate Training</w:t>
      </w:r>
    </w:p>
    <w:p>
      <w:pPr>
        <w:keepNext/>
      </w:pPr>
      <w:r>
        <w:rPr>
          <w:rFonts w:ascii="Arial" w:hAnsi="Arial"/>
          <w:b/>
          <w:sz w:val="17"/>
        </w:rPr>
        <w:t xml:space="preserve">Primary focus  </w:t>
      </w:r>
      <w:r>
        <w:rPr>
          <w:rFonts w:ascii="Arial" w:hAnsi="Arial"/>
          <w:color w:val="44546A"/>
          <w:sz w:val="17"/>
        </w:rPr>
        <w:t>Training needs, materials, scheduling, delivery, completion tracking, job aids, and future-release impacts.</w:t>
      </w:r>
    </w:p>
    <w:p>
      <w:pPr>
        <w:keepNext/>
      </w:pPr>
      <w:r>
        <w:rPr>
          <w:rFonts w:ascii="Arial" w:hAnsi="Arial"/>
          <w:i/>
          <w:color w:val="44546A"/>
          <w:sz w:val="17"/>
        </w:rPr>
        <w:t>Weeks 8 through 16   3 work items</w:t>
      </w:r>
    </w:p>
    <w:tbl>
      <w:tblPr>
        <w:tblW w:type="auto" w:w="0"/>
        <w:jc w:val="center"/>
        <w:tblLayout w:type="fixed"/>
        <w:tblLook w:firstColumn="1" w:firstRow="1" w:lastColumn="0" w:lastRow="0" w:noHBand="0" w:noVBand="1" w:val="04A0"/>
      </w:tblPr>
      <w:tblGrid>
        <w:gridCol w:w="648"/>
        <w:gridCol w:w="3240"/>
        <w:gridCol w:w="1296"/>
        <w:gridCol w:w="1296"/>
        <w:gridCol w:w="648"/>
        <w:gridCol w:w="1080"/>
        <w:gridCol w:w="1296"/>
        <w:gridCol w:w="4896"/>
      </w:tblGrid>
      <w:tr>
        <w:trPr>
          <w:cantSplit/>
          <w:tblHeader w:val="true"/>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5"/>
              </w:rPr>
              <w:t>ID</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5"/>
              </w:rPr>
              <w:t>Work Item</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5"/>
              </w:rPr>
              <w:t>Owner</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5"/>
              </w:rPr>
              <w:t>Partners</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5"/>
              </w:rPr>
              <w:t>CP</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5"/>
              </w:rPr>
              <w:t>Due</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5"/>
              </w:rPr>
              <w:t>Status</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5"/>
              </w:rPr>
              <w:t>Complete When</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C.1</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Confirm training audiences, objectives, and delivery approach</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Training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Customer Support; Product</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CP3</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Aug 21</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Required audiences, skills, delivery methods, schedule, completion expectations, and owners are confirmed.</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C.2</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Develop and approve training materials and job aids</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Training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Customer Support; Product</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CP3</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6"/>
              </w:rPr>
              <w:t>Sep 4</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6"/>
              </w:rPr>
              <w:t>Training content, demonstrations, support guidance, job aids, and final approvals are complete.</w:t>
            </w:r>
          </w:p>
        </w:tc>
      </w:tr>
      <w:tr>
        <w:trPr>
          <w:cantSplit/>
        </w:trPr>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C.3</w:t>
            </w:r>
          </w:p>
        </w:tc>
        <w:tc>
          <w:tcPr>
            <w:tcW w:type="dxa" w:w="32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Deliver training and confirm readiness</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Training Lead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Customer Support; Marketing</w:t>
            </w:r>
          </w:p>
        </w:tc>
        <w:tc>
          <w:tcPr>
            <w:tcW w:type="dxa" w:w="64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CP3</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6"/>
              </w:rPr>
              <w:t>Oct 2</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4F7"/>
          </w:tcPr>
          <w:p>
            <w:pPr>
              <w:spacing w:before="0" w:after="0" w:line="240" w:lineRule="auto"/>
              <w:jc w:val="center"/>
            </w:pPr>
            <w:r>
              <w:rPr>
                <w:rFonts w:ascii="Arial" w:hAnsi="Arial"/>
                <w:b w:val="0"/>
                <w:color w:val="000000"/>
                <w:sz w:val="16"/>
              </w:rPr>
              <w:t>Not Started</w:t>
            </w:r>
          </w:p>
        </w:tc>
        <w:tc>
          <w:tcPr>
            <w:tcW w:type="dxa" w:w="48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6"/>
              </w:rPr>
              <w:t>Required training is delivered, completion and follow-up are documented, and workforce readiness is confirmed by October 2.</w:t>
            </w:r>
          </w:p>
        </w:tc>
      </w:tr>
    </w:tbl>
    <w:p>
      <w:pPr>
        <w:spacing w:after="40"/>
      </w:pPr>
    </w:p>
    <w:p>
      <w:pPr>
        <w:pStyle w:val="Heading1"/>
        <w:keepNext/>
        <w:keepLines/>
        <w:pageBreakBefore/>
      </w:pPr>
      <w:r>
        <w:t>Project Controls</w:t>
      </w:r>
    </w:p>
    <w:p>
      <w:r>
        <w:rPr>
          <w:rFonts w:ascii="Arial" w:hAnsi="Arial"/>
          <w:sz w:val="19"/>
        </w:rPr>
        <w:t>Maintain only the items that require cross-team visibility, leadership action, or a documented change. Add rows as needed and retain the approved record through project closure.</w:t>
      </w:r>
    </w:p>
    <w:p>
      <w:pPr>
        <w:pStyle w:val="Heading2"/>
        <w:keepNext/>
        <w:keepLines/>
      </w:pPr>
      <w:r>
        <w:t>Items Requiring Attention</w:t>
      </w:r>
    </w:p>
    <w:tbl>
      <w:tblPr>
        <w:tblW w:type="auto" w:w="0"/>
        <w:jc w:val="center"/>
        <w:tblLayout w:type="fixed"/>
        <w:tblLook w:firstColumn="1" w:firstRow="1" w:lastColumn="0" w:lastRow="0" w:noHBand="0" w:noVBand="1" w:val="04A0"/>
      </w:tblPr>
      <w:tblGrid>
        <w:gridCol w:w="864"/>
        <w:gridCol w:w="1296"/>
        <w:gridCol w:w="4320"/>
        <w:gridCol w:w="1584"/>
        <w:gridCol w:w="1080"/>
        <w:gridCol w:w="1440"/>
        <w:gridCol w:w="3816"/>
      </w:tblGrid>
      <w:tr>
        <w:trPr>
          <w:cantSplit/>
          <w:tblHeader w:val="true"/>
        </w:trPr>
        <w:tc>
          <w:tcPr>
            <w:tcW w:type="dxa" w:w="86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6"/>
              </w:rPr>
              <w:t>ID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6"/>
              </w:rPr>
              <w:t>Type</w:t>
            </w:r>
          </w:p>
        </w:tc>
        <w:tc>
          <w:tcPr>
            <w:tcW w:type="dxa" w:w="432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6"/>
              </w:rPr>
              <w:t>Description or Decision</w:t>
            </w:r>
          </w:p>
        </w:tc>
        <w:tc>
          <w:tcPr>
            <w:tcW w:type="dxa" w:w="158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6"/>
              </w:rPr>
              <w:t>Owner</w:t>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6"/>
              </w:rPr>
              <w:t>Due</w:t>
            </w:r>
          </w:p>
        </w:tc>
        <w:tc>
          <w:tcPr>
            <w:tcW w:type="dxa" w:w="14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6"/>
              </w:rPr>
              <w:t>Status</w:t>
            </w:r>
          </w:p>
        </w:tc>
        <w:tc>
          <w:tcPr>
            <w:tcW w:type="dxa" w:w="381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6"/>
              </w:rPr>
              <w:t>Resolution or Decision</w:t>
            </w:r>
          </w:p>
        </w:tc>
      </w:tr>
      <w:tr>
        <w:trPr>
          <w:cantSplit/>
        </w:trPr>
        <w:tc>
          <w:tcPr>
            <w:tcW w:type="dxa" w:w="86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7"/>
              </w:rPr>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7"/>
              </w:rPr>
            </w:r>
          </w:p>
        </w:tc>
        <w:tc>
          <w:tcPr>
            <w:tcW w:type="dxa" w:w="432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c>
          <w:tcPr>
            <w:tcW w:type="dxa" w:w="158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7"/>
              </w:rPr>
            </w:r>
          </w:p>
        </w:tc>
        <w:tc>
          <w:tcPr>
            <w:tcW w:type="dxa" w:w="14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7"/>
              </w:rPr>
            </w:r>
          </w:p>
        </w:tc>
        <w:tc>
          <w:tcPr>
            <w:tcW w:type="dxa" w:w="381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r>
      <w:tr>
        <w:trPr>
          <w:cantSplit/>
        </w:trPr>
        <w:tc>
          <w:tcPr>
            <w:tcW w:type="dxa" w:w="86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7"/>
              </w:rPr>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7"/>
              </w:rPr>
            </w:r>
          </w:p>
        </w:tc>
        <w:tc>
          <w:tcPr>
            <w:tcW w:type="dxa" w:w="432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r>
          </w:p>
        </w:tc>
        <w:tc>
          <w:tcPr>
            <w:tcW w:type="dxa" w:w="158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7"/>
              </w:rPr>
            </w:r>
          </w:p>
        </w:tc>
        <w:tc>
          <w:tcPr>
            <w:tcW w:type="dxa" w:w="14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7"/>
              </w:rPr>
            </w:r>
          </w:p>
        </w:tc>
        <w:tc>
          <w:tcPr>
            <w:tcW w:type="dxa" w:w="381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r>
          </w:p>
        </w:tc>
      </w:tr>
      <w:tr>
        <w:trPr>
          <w:cantSplit/>
        </w:trPr>
        <w:tc>
          <w:tcPr>
            <w:tcW w:type="dxa" w:w="86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7"/>
              </w:rPr>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7"/>
              </w:rPr>
            </w:r>
          </w:p>
        </w:tc>
        <w:tc>
          <w:tcPr>
            <w:tcW w:type="dxa" w:w="432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c>
          <w:tcPr>
            <w:tcW w:type="dxa" w:w="158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7"/>
              </w:rPr>
            </w:r>
          </w:p>
        </w:tc>
        <w:tc>
          <w:tcPr>
            <w:tcW w:type="dxa" w:w="14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7"/>
              </w:rPr>
            </w:r>
          </w:p>
        </w:tc>
        <w:tc>
          <w:tcPr>
            <w:tcW w:type="dxa" w:w="381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r>
      <w:tr>
        <w:trPr>
          <w:cantSplit/>
        </w:trPr>
        <w:tc>
          <w:tcPr>
            <w:tcW w:type="dxa" w:w="86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7"/>
              </w:rPr>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7"/>
              </w:rPr>
            </w:r>
          </w:p>
        </w:tc>
        <w:tc>
          <w:tcPr>
            <w:tcW w:type="dxa" w:w="432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r>
          </w:p>
        </w:tc>
        <w:tc>
          <w:tcPr>
            <w:tcW w:type="dxa" w:w="158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7"/>
              </w:rPr>
            </w:r>
          </w:p>
        </w:tc>
        <w:tc>
          <w:tcPr>
            <w:tcW w:type="dxa" w:w="14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7"/>
              </w:rPr>
            </w:r>
          </w:p>
        </w:tc>
        <w:tc>
          <w:tcPr>
            <w:tcW w:type="dxa" w:w="381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r>
          </w:p>
        </w:tc>
      </w:tr>
      <w:tr>
        <w:trPr>
          <w:cantSplit/>
        </w:trPr>
        <w:tc>
          <w:tcPr>
            <w:tcW w:type="dxa" w:w="86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7"/>
              </w:rPr>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7"/>
              </w:rPr>
            </w:r>
          </w:p>
        </w:tc>
        <w:tc>
          <w:tcPr>
            <w:tcW w:type="dxa" w:w="432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c>
          <w:tcPr>
            <w:tcW w:type="dxa" w:w="158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7"/>
              </w:rPr>
            </w:r>
          </w:p>
        </w:tc>
        <w:tc>
          <w:tcPr>
            <w:tcW w:type="dxa" w:w="14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7"/>
              </w:rPr>
            </w:r>
          </w:p>
        </w:tc>
        <w:tc>
          <w:tcPr>
            <w:tcW w:type="dxa" w:w="381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r>
      <w:tr>
        <w:trPr>
          <w:cantSplit/>
        </w:trPr>
        <w:tc>
          <w:tcPr>
            <w:tcW w:type="dxa" w:w="86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7"/>
              </w:rPr>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7"/>
              </w:rPr>
            </w:r>
          </w:p>
        </w:tc>
        <w:tc>
          <w:tcPr>
            <w:tcW w:type="dxa" w:w="432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r>
          </w:p>
        </w:tc>
        <w:tc>
          <w:tcPr>
            <w:tcW w:type="dxa" w:w="158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7"/>
              </w:rPr>
            </w:r>
          </w:p>
        </w:tc>
        <w:tc>
          <w:tcPr>
            <w:tcW w:type="dxa" w:w="14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7"/>
              </w:rPr>
            </w:r>
          </w:p>
        </w:tc>
        <w:tc>
          <w:tcPr>
            <w:tcW w:type="dxa" w:w="381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r>
          </w:p>
        </w:tc>
      </w:tr>
      <w:tr>
        <w:trPr>
          <w:cantSplit/>
        </w:trPr>
        <w:tc>
          <w:tcPr>
            <w:tcW w:type="dxa" w:w="86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7"/>
              </w:rPr>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7"/>
              </w:rPr>
            </w:r>
          </w:p>
        </w:tc>
        <w:tc>
          <w:tcPr>
            <w:tcW w:type="dxa" w:w="432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c>
          <w:tcPr>
            <w:tcW w:type="dxa" w:w="158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7"/>
              </w:rPr>
            </w:r>
          </w:p>
        </w:tc>
        <w:tc>
          <w:tcPr>
            <w:tcW w:type="dxa" w:w="14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7"/>
              </w:rPr>
            </w:r>
          </w:p>
        </w:tc>
        <w:tc>
          <w:tcPr>
            <w:tcW w:type="dxa" w:w="381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r>
      <w:tr>
        <w:trPr>
          <w:cantSplit/>
        </w:trPr>
        <w:tc>
          <w:tcPr>
            <w:tcW w:type="dxa" w:w="86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7"/>
              </w:rPr>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7"/>
              </w:rPr>
            </w:r>
          </w:p>
        </w:tc>
        <w:tc>
          <w:tcPr>
            <w:tcW w:type="dxa" w:w="432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r>
          </w:p>
        </w:tc>
        <w:tc>
          <w:tcPr>
            <w:tcW w:type="dxa" w:w="158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7"/>
              </w:rPr>
            </w:r>
          </w:p>
        </w:tc>
        <w:tc>
          <w:tcPr>
            <w:tcW w:type="dxa" w:w="14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7"/>
              </w:rPr>
            </w:r>
          </w:p>
        </w:tc>
        <w:tc>
          <w:tcPr>
            <w:tcW w:type="dxa" w:w="381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r>
          </w:p>
        </w:tc>
      </w:tr>
      <w:tr>
        <w:trPr>
          <w:cantSplit/>
        </w:trPr>
        <w:tc>
          <w:tcPr>
            <w:tcW w:type="dxa" w:w="86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7"/>
              </w:rPr>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7"/>
              </w:rPr>
            </w:r>
          </w:p>
        </w:tc>
        <w:tc>
          <w:tcPr>
            <w:tcW w:type="dxa" w:w="432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c>
          <w:tcPr>
            <w:tcW w:type="dxa" w:w="158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c>
          <w:tcPr>
            <w:tcW w:type="dxa" w:w="108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7"/>
              </w:rPr>
            </w:r>
          </w:p>
        </w:tc>
        <w:tc>
          <w:tcPr>
            <w:tcW w:type="dxa" w:w="14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7"/>
              </w:rPr>
            </w:r>
          </w:p>
        </w:tc>
        <w:tc>
          <w:tcPr>
            <w:tcW w:type="dxa" w:w="381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r>
    </w:tbl>
    <w:p>
      <w:pPr>
        <w:spacing w:after="40"/>
      </w:pPr>
    </w:p>
    <w:p>
      <w:pPr>
        <w:pStyle w:val="Heading2"/>
        <w:keepNext/>
        <w:keepLines/>
      </w:pPr>
      <w:r>
        <w:t>Scope Change Log</w:t>
      </w:r>
    </w:p>
    <w:tbl>
      <w:tblPr>
        <w:tblW w:type="auto" w:w="0"/>
        <w:jc w:val="center"/>
        <w:tblLayout w:type="fixed"/>
        <w:tblLook w:firstColumn="1" w:firstRow="1" w:lastColumn="0" w:lastRow="0" w:noHBand="0" w:noVBand="1" w:val="04A0"/>
      </w:tblPr>
      <w:tblGrid>
        <w:gridCol w:w="936"/>
        <w:gridCol w:w="1368"/>
        <w:gridCol w:w="4320"/>
        <w:gridCol w:w="3168"/>
        <w:gridCol w:w="3024"/>
        <w:gridCol w:w="1584"/>
      </w:tblGrid>
      <w:tr>
        <w:trPr>
          <w:cantSplit/>
          <w:tblHeader w:val="true"/>
        </w:trPr>
        <w:tc>
          <w:tcPr>
            <w:tcW w:type="dxa" w:w="93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6"/>
              </w:rPr>
              <w:t>ID</w:t>
            </w:r>
          </w:p>
        </w:tc>
        <w:tc>
          <w:tcPr>
            <w:tcW w:type="dxa" w:w="13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center"/>
            </w:pPr>
            <w:r>
              <w:rPr>
                <w:rFonts w:ascii="Arial" w:hAnsi="Arial"/>
                <w:b/>
                <w:color w:val="FFFFFF"/>
                <w:sz w:val="16"/>
              </w:rPr>
              <w:t>Date</w:t>
            </w:r>
          </w:p>
        </w:tc>
        <w:tc>
          <w:tcPr>
            <w:tcW w:type="dxa" w:w="432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6"/>
              </w:rPr>
              <w:t>Requested Change</w:t>
            </w:r>
          </w:p>
        </w:tc>
        <w:tc>
          <w:tcPr>
            <w:tcW w:type="dxa" w:w="31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6"/>
              </w:rPr>
              <w:t>Impact</w:t>
            </w:r>
          </w:p>
        </w:tc>
        <w:tc>
          <w:tcPr>
            <w:tcW w:type="dxa" w:w="302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6"/>
              </w:rPr>
              <w:t>Decision</w:t>
            </w:r>
          </w:p>
        </w:tc>
        <w:tc>
          <w:tcPr>
            <w:tcW w:type="dxa" w:w="158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before="0" w:after="0" w:line="240" w:lineRule="auto"/>
              <w:jc w:val="left"/>
            </w:pPr>
            <w:r>
              <w:rPr>
                <w:rFonts w:ascii="Arial" w:hAnsi="Arial"/>
                <w:b/>
                <w:color w:val="FFFFFF"/>
                <w:sz w:val="16"/>
              </w:rPr>
              <w:t>Owner</w:t>
            </w:r>
          </w:p>
        </w:tc>
      </w:tr>
      <w:tr>
        <w:trPr>
          <w:cantSplit/>
        </w:trPr>
        <w:tc>
          <w:tcPr>
            <w:tcW w:type="dxa" w:w="93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7"/>
              </w:rPr>
            </w:r>
          </w:p>
        </w:tc>
        <w:tc>
          <w:tcPr>
            <w:tcW w:type="dxa" w:w="13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7"/>
              </w:rPr>
            </w:r>
          </w:p>
        </w:tc>
        <w:tc>
          <w:tcPr>
            <w:tcW w:type="dxa" w:w="432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c>
          <w:tcPr>
            <w:tcW w:type="dxa" w:w="31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c>
          <w:tcPr>
            <w:tcW w:type="dxa" w:w="302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c>
          <w:tcPr>
            <w:tcW w:type="dxa" w:w="158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r>
      <w:tr>
        <w:trPr>
          <w:cantSplit/>
        </w:trPr>
        <w:tc>
          <w:tcPr>
            <w:tcW w:type="dxa" w:w="93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7"/>
              </w:rPr>
            </w:r>
          </w:p>
        </w:tc>
        <w:tc>
          <w:tcPr>
            <w:tcW w:type="dxa" w:w="13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7"/>
              </w:rPr>
            </w:r>
          </w:p>
        </w:tc>
        <w:tc>
          <w:tcPr>
            <w:tcW w:type="dxa" w:w="432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r>
          </w:p>
        </w:tc>
        <w:tc>
          <w:tcPr>
            <w:tcW w:type="dxa" w:w="31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r>
          </w:p>
        </w:tc>
        <w:tc>
          <w:tcPr>
            <w:tcW w:type="dxa" w:w="302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r>
          </w:p>
        </w:tc>
        <w:tc>
          <w:tcPr>
            <w:tcW w:type="dxa" w:w="158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r>
          </w:p>
        </w:tc>
      </w:tr>
      <w:tr>
        <w:trPr>
          <w:cantSplit/>
        </w:trPr>
        <w:tc>
          <w:tcPr>
            <w:tcW w:type="dxa" w:w="93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7"/>
              </w:rPr>
            </w:r>
          </w:p>
        </w:tc>
        <w:tc>
          <w:tcPr>
            <w:tcW w:type="dxa" w:w="13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7"/>
              </w:rPr>
            </w:r>
          </w:p>
        </w:tc>
        <w:tc>
          <w:tcPr>
            <w:tcW w:type="dxa" w:w="432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c>
          <w:tcPr>
            <w:tcW w:type="dxa" w:w="31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c>
          <w:tcPr>
            <w:tcW w:type="dxa" w:w="302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c>
          <w:tcPr>
            <w:tcW w:type="dxa" w:w="158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r>
      <w:tr>
        <w:trPr>
          <w:cantSplit/>
        </w:trPr>
        <w:tc>
          <w:tcPr>
            <w:tcW w:type="dxa" w:w="93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7"/>
              </w:rPr>
            </w:r>
          </w:p>
        </w:tc>
        <w:tc>
          <w:tcPr>
            <w:tcW w:type="dxa" w:w="13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7"/>
              </w:rPr>
            </w:r>
          </w:p>
        </w:tc>
        <w:tc>
          <w:tcPr>
            <w:tcW w:type="dxa" w:w="432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r>
          </w:p>
        </w:tc>
        <w:tc>
          <w:tcPr>
            <w:tcW w:type="dxa" w:w="31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r>
          </w:p>
        </w:tc>
        <w:tc>
          <w:tcPr>
            <w:tcW w:type="dxa" w:w="302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r>
          </w:p>
        </w:tc>
        <w:tc>
          <w:tcPr>
            <w:tcW w:type="dxa" w:w="158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r>
          </w:p>
        </w:tc>
      </w:tr>
      <w:tr>
        <w:trPr>
          <w:cantSplit/>
        </w:trPr>
        <w:tc>
          <w:tcPr>
            <w:tcW w:type="dxa" w:w="93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7"/>
              </w:rPr>
            </w:r>
          </w:p>
        </w:tc>
        <w:tc>
          <w:tcPr>
            <w:tcW w:type="dxa" w:w="13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7"/>
              </w:rPr>
            </w:r>
          </w:p>
        </w:tc>
        <w:tc>
          <w:tcPr>
            <w:tcW w:type="dxa" w:w="432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c>
          <w:tcPr>
            <w:tcW w:type="dxa" w:w="31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c>
          <w:tcPr>
            <w:tcW w:type="dxa" w:w="302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c>
          <w:tcPr>
            <w:tcW w:type="dxa" w:w="158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r>
      <w:tr>
        <w:trPr>
          <w:cantSplit/>
        </w:trPr>
        <w:tc>
          <w:tcPr>
            <w:tcW w:type="dxa" w:w="93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7"/>
              </w:rPr>
            </w:r>
          </w:p>
        </w:tc>
        <w:tc>
          <w:tcPr>
            <w:tcW w:type="dxa" w:w="13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center"/>
            </w:pPr>
            <w:r>
              <w:rPr>
                <w:rFonts w:ascii="Arial" w:hAnsi="Arial"/>
                <w:b w:val="0"/>
                <w:color w:val="000000"/>
                <w:sz w:val="17"/>
              </w:rPr>
            </w:r>
          </w:p>
        </w:tc>
        <w:tc>
          <w:tcPr>
            <w:tcW w:type="dxa" w:w="432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r>
          </w:p>
        </w:tc>
        <w:tc>
          <w:tcPr>
            <w:tcW w:type="dxa" w:w="31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r>
          </w:p>
        </w:tc>
        <w:tc>
          <w:tcPr>
            <w:tcW w:type="dxa" w:w="302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r>
          </w:p>
        </w:tc>
        <w:tc>
          <w:tcPr>
            <w:tcW w:type="dxa" w:w="158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before="0" w:after="0" w:line="240" w:lineRule="auto"/>
              <w:jc w:val="left"/>
            </w:pPr>
            <w:r>
              <w:rPr>
                <w:rFonts w:ascii="Arial" w:hAnsi="Arial"/>
                <w:b w:val="0"/>
                <w:color w:val="000000"/>
                <w:sz w:val="17"/>
              </w:rPr>
            </w:r>
          </w:p>
        </w:tc>
      </w:tr>
      <w:tr>
        <w:trPr>
          <w:cantSplit/>
        </w:trPr>
        <w:tc>
          <w:tcPr>
            <w:tcW w:type="dxa" w:w="93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7"/>
              </w:rPr>
            </w:r>
          </w:p>
        </w:tc>
        <w:tc>
          <w:tcPr>
            <w:tcW w:type="dxa" w:w="13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center"/>
            </w:pPr>
            <w:r>
              <w:rPr>
                <w:rFonts w:ascii="Arial" w:hAnsi="Arial"/>
                <w:b w:val="0"/>
                <w:color w:val="000000"/>
                <w:sz w:val="17"/>
              </w:rPr>
            </w:r>
          </w:p>
        </w:tc>
        <w:tc>
          <w:tcPr>
            <w:tcW w:type="dxa" w:w="432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c>
          <w:tcPr>
            <w:tcW w:type="dxa" w:w="31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c>
          <w:tcPr>
            <w:tcW w:type="dxa" w:w="302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c>
          <w:tcPr>
            <w:tcW w:type="dxa" w:w="158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before="0" w:after="0" w:line="240" w:lineRule="auto"/>
              <w:jc w:val="left"/>
            </w:pPr>
            <w:r>
              <w:rPr>
                <w:rFonts w:ascii="Arial" w:hAnsi="Arial"/>
                <w:b w:val="0"/>
                <w:color w:val="000000"/>
                <w:sz w:val="17"/>
              </w:rPr>
            </w:r>
          </w:p>
        </w:tc>
      </w:tr>
    </w:tbl>
    <w:sectPr w:rsidR="00FC693F" w:rsidRPr="0006063C" w:rsidSect="00034616">
      <w:headerReference w:type="default" r:id="rId11"/>
      <w:footerReference w:type="default" r:id="rId12"/>
      <w:pgSz w:w="15840" w:h="12240" w:orient="landscape"/>
      <w:pgMar w:top="792" w:right="720" w:bottom="792" w:left="72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7085"/>
        <w:sz w:val="16"/>
      </w:rPr>
      <w:t xml:space="preserve">Page </w:t>
    </w:r>
    <w:r>
      <w:fldChar w:fldCharType="begin"/>
      <w:instrText xml:space="preserve">PAGE</w:instrText>
      <w:fldChar w:fldCharType="separate"/>
      <w:t>1</w:t>
      <w:fldChar w:fldCharType="end"/>
    </w:r>
    <w:r>
      <w:rPr>
        <w:rFonts w:ascii="Arial" w:hAnsi="Arial"/>
        <w:color w:val="667085"/>
        <w:sz w:val="16"/>
      </w:rPr>
      <w:t xml:space="preserve"> of </w:t>
    </w:r>
    <w: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7085"/>
        <w:sz w:val="16"/>
      </w:rPr>
      <w:t xml:space="preserve">Page </w:t>
    </w:r>
    <w:r>
      <w:fldChar w:fldCharType="begin"/>
      <w:instrText xml:space="preserve">PAGE</w:instrText>
      <w:fldChar w:fldCharType="separate"/>
      <w:t>1</w:t>
      <w:fldChar w:fldCharType="end"/>
    </w:r>
    <w:r>
      <w:rPr>
        <w:rFonts w:ascii="Arial" w:hAnsi="Arial"/>
        <w:color w:val="667085"/>
        <w:sz w:val="16"/>
      </w:rP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667085"/>
        <w:sz w:val="16"/>
      </w:rPr>
      <w:t>Credit Sense and Fiserv OLB Team Project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Sense and Fiserv OLB Implementation Project Plan</dc:title>
  <dc:subject>Team based client implementation project schedule</dc:subject>
  <dc:creator/>
  <cp:keywords/>
  <dc:description/>
  <cp:lastModifiedBy/>
  <cp:revision>1</cp:revision>
  <dcterms:created xsi:type="dcterms:W3CDTF">2013-12-23T23:15:00Z</dcterms:created>
  <dcterms:modified xsi:type="dcterms:W3CDTF">2013-12-23T23:15:00Z</dcterms:modified>
  <cp:category/>
</cp:coreProperties>
</file>