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SavvyMoney Credit Sense Customer Support Operations Runbook</w:t>
      </w:r>
    </w:p>
    <w:p>
      <w:pPr>
        <w:pStyle w:val="Subtitle"/>
        <w:jc w:val="center"/>
      </w:pPr>
      <w:r>
        <w:t>Day 0 through Day 30 launch support stabilization and transition to business as usual</w:t>
      </w:r>
    </w:p>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4"/>
        <w:gridCol w:w="6552"/>
      </w:tblGrid>
      <w:tr>
        <w:trPr>
          <w:tblHeader w:val="true"/>
        </w:trPr>
        <w:tc>
          <w:tcPr>
            <w:tcW w:type="dxa" w:w="3024"/>
            <w:shd w:fill="163A5F"/>
            <w:tcMar>
              <w:top w:w="100" w:type="dxa"/>
              <w:start w:w="110" w:type="dxa"/>
              <w:bottom w:w="100" w:type="dxa"/>
              <w:end w:w="110" w:type="dxa"/>
            </w:tcMar>
          </w:tcPr>
          <w:p>
            <w:pPr>
              <w:keepNext w:val="0"/>
              <w:spacing w:before="0" w:after="0" w:line="240" w:lineRule="auto"/>
            </w:pPr>
            <w:r>
              <w:rPr>
                <w:rFonts w:ascii="Arial" w:hAnsi="Arial" w:eastAsia="Arial"/>
                <w:b/>
                <w:color w:val="FFFFFF"/>
                <w:sz w:val="20"/>
              </w:rPr>
              <w:t>Document field</w:t>
            </w:r>
          </w:p>
        </w:tc>
        <w:tc>
          <w:tcPr>
            <w:tcW w:type="dxa" w:w="6552"/>
            <w:shd w:fill="163A5F"/>
            <w:tcMar>
              <w:top w:w="100" w:type="dxa"/>
              <w:start w:w="110" w:type="dxa"/>
              <w:bottom w:w="100" w:type="dxa"/>
              <w:end w:w="110" w:type="dxa"/>
            </w:tcMar>
          </w:tcPr>
          <w:p>
            <w:pPr>
              <w:keepNext w:val="0"/>
              <w:spacing w:before="0" w:after="0" w:line="240" w:lineRule="auto"/>
            </w:pPr>
            <w:r>
              <w:rPr>
                <w:rFonts w:ascii="Arial" w:hAnsi="Arial" w:eastAsia="Arial"/>
                <w:b/>
                <w:color w:val="FFFFFF"/>
                <w:sz w:val="20"/>
              </w:rPr>
              <w:t>Controlled value</w:t>
            </w:r>
          </w:p>
        </w:tc>
      </w:tr>
      <w:tr>
        <w:tc>
          <w:tcPr>
            <w:tcW w:type="dxa" w:w="3024"/>
            <w:shd w:fill="EEF4F8"/>
            <w:tcMar>
              <w:top w:w="100" w:type="dxa"/>
              <w:start w:w="110" w:type="dxa"/>
              <w:bottom w:w="100" w:type="dxa"/>
              <w:end w:w="110" w:type="dxa"/>
            </w:tcMar>
            <w:vAlign w:val="center"/>
          </w:tcPr>
          <w:p>
            <w:pPr>
              <w:keepNext w:val="0"/>
              <w:spacing w:before="0" w:after="0" w:line="240" w:lineRule="auto"/>
            </w:pPr>
            <w:r>
              <w:rPr>
                <w:rFonts w:ascii="Arial" w:hAnsi="Arial" w:eastAsia="Arial"/>
                <w:b/>
                <w:color w:val="000000"/>
                <w:sz w:val="20"/>
              </w:rPr>
              <w:t>Financial institution</w:t>
            </w:r>
          </w:p>
        </w:tc>
        <w:tc>
          <w:tcPr>
            <w:tcW w:type="dxa" w:w="6552"/>
            <w:shd w:fill="FFFFFF"/>
            <w:tcMar>
              <w:top w:w="100" w:type="dxa"/>
              <w:start w:w="110" w:type="dxa"/>
              <w:bottom w:w="100" w:type="dxa"/>
              <w:end w:w="110" w:type="dxa"/>
            </w:tcMar>
            <w:vAlign w:val="center"/>
          </w:tcPr>
          <w:p>
            <w:pPr>
              <w:keepNext w:val="0"/>
              <w:spacing w:before="0" w:after="0" w:line="240" w:lineRule="auto"/>
            </w:pPr>
            <w:r>
              <w:rPr>
                <w:rFonts w:ascii="Arial" w:hAnsi="Arial" w:eastAsia="Arial"/>
                <w:color w:val="000000"/>
                <w:sz w:val="20"/>
              </w:rPr>
              <w:t>To be completed before approval</w:t>
            </w:r>
          </w:p>
        </w:tc>
      </w:tr>
      <w:tr>
        <w:tc>
          <w:tcPr>
            <w:tcW w:type="dxa" w:w="3024"/>
            <w:shd w:fill="EEF4F8"/>
            <w:tcMar>
              <w:top w:w="100" w:type="dxa"/>
              <w:start w:w="110" w:type="dxa"/>
              <w:bottom w:w="100" w:type="dxa"/>
              <w:end w:w="110" w:type="dxa"/>
            </w:tcMar>
            <w:vAlign w:val="center"/>
          </w:tcPr>
          <w:p>
            <w:pPr>
              <w:keepNext w:val="0"/>
              <w:spacing w:before="0" w:after="0" w:line="240" w:lineRule="auto"/>
            </w:pPr>
            <w:r>
              <w:rPr>
                <w:rFonts w:ascii="Arial" w:hAnsi="Arial" w:eastAsia="Arial"/>
                <w:b/>
                <w:color w:val="000000"/>
                <w:sz w:val="20"/>
              </w:rPr>
              <w:t>Document owner</w:t>
            </w:r>
          </w:p>
        </w:tc>
        <w:tc>
          <w:tcPr>
            <w:tcW w:type="dxa" w:w="6552"/>
            <w:shd w:fill="FFFFFF"/>
            <w:tcMar>
              <w:top w:w="100" w:type="dxa"/>
              <w:start w:w="110" w:type="dxa"/>
              <w:bottom w:w="100" w:type="dxa"/>
              <w:end w:w="110" w:type="dxa"/>
            </w:tcMar>
            <w:vAlign w:val="center"/>
          </w:tcPr>
          <w:p>
            <w:pPr>
              <w:keepNext w:val="0"/>
              <w:spacing w:before="0" w:after="0" w:line="240" w:lineRule="auto"/>
            </w:pPr>
            <w:r>
              <w:rPr>
                <w:rFonts w:ascii="Arial" w:hAnsi="Arial" w:eastAsia="Arial"/>
                <w:color w:val="000000"/>
                <w:sz w:val="20"/>
              </w:rPr>
              <w:t>Role to be assigned</w:t>
            </w:r>
          </w:p>
        </w:tc>
      </w:tr>
      <w:tr>
        <w:tc>
          <w:tcPr>
            <w:tcW w:type="dxa" w:w="3024"/>
            <w:shd w:fill="EEF4F8"/>
            <w:tcMar>
              <w:top w:w="100" w:type="dxa"/>
              <w:start w:w="110" w:type="dxa"/>
              <w:bottom w:w="100" w:type="dxa"/>
              <w:end w:w="110" w:type="dxa"/>
            </w:tcMar>
            <w:vAlign w:val="center"/>
          </w:tcPr>
          <w:p>
            <w:pPr>
              <w:keepNext w:val="0"/>
              <w:spacing w:before="0" w:after="0" w:line="240" w:lineRule="auto"/>
            </w:pPr>
            <w:r>
              <w:rPr>
                <w:rFonts w:ascii="Arial" w:hAnsi="Arial" w:eastAsia="Arial"/>
                <w:b/>
                <w:color w:val="000000"/>
                <w:sz w:val="20"/>
              </w:rPr>
              <w:t>Business approver</w:t>
            </w:r>
          </w:p>
        </w:tc>
        <w:tc>
          <w:tcPr>
            <w:tcW w:type="dxa" w:w="6552"/>
            <w:shd w:fill="FFFFFF"/>
            <w:tcMar>
              <w:top w:w="100" w:type="dxa"/>
              <w:start w:w="110" w:type="dxa"/>
              <w:bottom w:w="100" w:type="dxa"/>
              <w:end w:w="110" w:type="dxa"/>
            </w:tcMar>
            <w:vAlign w:val="center"/>
          </w:tcPr>
          <w:p>
            <w:pPr>
              <w:keepNext w:val="0"/>
              <w:spacing w:before="0" w:after="0" w:line="240" w:lineRule="auto"/>
            </w:pPr>
            <w:r>
              <w:rPr>
                <w:rFonts w:ascii="Arial" w:hAnsi="Arial" w:eastAsia="Arial"/>
                <w:color w:val="000000"/>
                <w:sz w:val="20"/>
              </w:rPr>
              <w:t>Role to be assigned</w:t>
            </w:r>
          </w:p>
        </w:tc>
      </w:tr>
      <w:tr>
        <w:tc>
          <w:tcPr>
            <w:tcW w:type="dxa" w:w="3024"/>
            <w:shd w:fill="EEF4F8"/>
            <w:tcMar>
              <w:top w:w="100" w:type="dxa"/>
              <w:start w:w="110" w:type="dxa"/>
              <w:bottom w:w="100" w:type="dxa"/>
              <w:end w:w="110" w:type="dxa"/>
            </w:tcMar>
            <w:vAlign w:val="center"/>
          </w:tcPr>
          <w:p>
            <w:pPr>
              <w:keepNext w:val="0"/>
              <w:spacing w:before="0" w:after="0" w:line="240" w:lineRule="auto"/>
            </w:pPr>
            <w:r>
              <w:rPr>
                <w:rFonts w:ascii="Arial" w:hAnsi="Arial" w:eastAsia="Arial"/>
                <w:b/>
                <w:color w:val="000000"/>
                <w:sz w:val="20"/>
              </w:rPr>
              <w:t>Version</w:t>
            </w:r>
          </w:p>
        </w:tc>
        <w:tc>
          <w:tcPr>
            <w:tcW w:type="dxa" w:w="6552"/>
            <w:shd w:fill="FFFFFF"/>
            <w:tcMar>
              <w:top w:w="100" w:type="dxa"/>
              <w:start w:w="110" w:type="dxa"/>
              <w:bottom w:w="100" w:type="dxa"/>
              <w:end w:w="110" w:type="dxa"/>
            </w:tcMar>
            <w:vAlign w:val="center"/>
          </w:tcPr>
          <w:p>
            <w:pPr>
              <w:keepNext w:val="0"/>
              <w:spacing w:before="0" w:after="0" w:line="240" w:lineRule="auto"/>
            </w:pPr>
            <w:r>
              <w:rPr>
                <w:rFonts w:ascii="Arial" w:hAnsi="Arial" w:eastAsia="Arial"/>
                <w:color w:val="000000"/>
                <w:sz w:val="20"/>
              </w:rPr>
              <w:t>1.0</w:t>
            </w:r>
          </w:p>
        </w:tc>
      </w:tr>
      <w:tr>
        <w:tc>
          <w:tcPr>
            <w:tcW w:type="dxa" w:w="3024"/>
            <w:shd w:fill="EEF4F8"/>
            <w:tcMar>
              <w:top w:w="100" w:type="dxa"/>
              <w:start w:w="110" w:type="dxa"/>
              <w:bottom w:w="100" w:type="dxa"/>
              <w:end w:w="110" w:type="dxa"/>
            </w:tcMar>
            <w:vAlign w:val="center"/>
          </w:tcPr>
          <w:p>
            <w:pPr>
              <w:keepNext w:val="0"/>
              <w:spacing w:before="0" w:after="0" w:line="240" w:lineRule="auto"/>
            </w:pPr>
            <w:r>
              <w:rPr>
                <w:rFonts w:ascii="Arial" w:hAnsi="Arial" w:eastAsia="Arial"/>
                <w:b/>
                <w:color w:val="000000"/>
                <w:sz w:val="20"/>
              </w:rPr>
              <w:t>Status</w:t>
            </w:r>
          </w:p>
        </w:tc>
        <w:tc>
          <w:tcPr>
            <w:tcW w:type="dxa" w:w="6552"/>
            <w:shd w:fill="FFFFFF"/>
            <w:tcMar>
              <w:top w:w="100" w:type="dxa"/>
              <w:start w:w="110" w:type="dxa"/>
              <w:bottom w:w="100" w:type="dxa"/>
              <w:end w:w="110" w:type="dxa"/>
            </w:tcMar>
            <w:vAlign w:val="center"/>
          </w:tcPr>
          <w:p>
            <w:pPr>
              <w:keepNext w:val="0"/>
              <w:spacing w:before="0" w:after="0" w:line="240" w:lineRule="auto"/>
            </w:pPr>
            <w:r>
              <w:rPr>
                <w:rFonts w:ascii="Arial" w:hAnsi="Arial" w:eastAsia="Arial"/>
                <w:color w:val="000000"/>
                <w:sz w:val="20"/>
              </w:rPr>
              <w:t>Draft for institution completion</w:t>
            </w:r>
          </w:p>
        </w:tc>
      </w:tr>
      <w:tr>
        <w:tc>
          <w:tcPr>
            <w:tcW w:type="dxa" w:w="3024"/>
            <w:shd w:fill="EEF4F8"/>
            <w:tcMar>
              <w:top w:w="100" w:type="dxa"/>
              <w:start w:w="110" w:type="dxa"/>
              <w:bottom w:w="100" w:type="dxa"/>
              <w:end w:w="110" w:type="dxa"/>
            </w:tcMar>
            <w:vAlign w:val="center"/>
          </w:tcPr>
          <w:p>
            <w:pPr>
              <w:keepNext w:val="0"/>
              <w:spacing w:before="0" w:after="0" w:line="240" w:lineRule="auto"/>
            </w:pPr>
            <w:r>
              <w:rPr>
                <w:rFonts w:ascii="Arial" w:hAnsi="Arial" w:eastAsia="Arial"/>
                <w:b/>
                <w:color w:val="000000"/>
                <w:sz w:val="20"/>
              </w:rPr>
              <w:t>Prepared date</w:t>
            </w:r>
          </w:p>
        </w:tc>
        <w:tc>
          <w:tcPr>
            <w:tcW w:type="dxa" w:w="6552"/>
            <w:shd w:fill="FFFFFF"/>
            <w:tcMar>
              <w:top w:w="100" w:type="dxa"/>
              <w:start w:w="110" w:type="dxa"/>
              <w:bottom w:w="100" w:type="dxa"/>
              <w:end w:w="110" w:type="dxa"/>
            </w:tcMar>
            <w:vAlign w:val="center"/>
          </w:tcPr>
          <w:p>
            <w:pPr>
              <w:keepNext w:val="0"/>
              <w:spacing w:before="0" w:after="0" w:line="240" w:lineRule="auto"/>
            </w:pPr>
            <w:r>
              <w:rPr>
                <w:rFonts w:ascii="Arial" w:hAnsi="Arial" w:eastAsia="Arial"/>
                <w:color w:val="000000"/>
                <w:sz w:val="20"/>
              </w:rPr>
              <w:t>September 17, 2026</w:t>
            </w:r>
          </w:p>
        </w:tc>
      </w:tr>
    </w:tbl>
    <w:p/>
    <w:p>
      <w:pPr>
        <w:keepNext w:val="0"/>
        <w:spacing w:before="240" w:after="0" w:line="240" w:lineRule="auto"/>
        <w:jc w:val="center"/>
      </w:pPr>
      <w:r>
        <w:rPr>
          <w:rFonts w:ascii="Arial" w:hAnsi="Arial" w:eastAsia="Arial"/>
          <w:b/>
          <w:color w:val="A61B1B"/>
          <w:sz w:val="20"/>
        </w:rPr>
        <w:t>Internal use</w:t>
      </w:r>
    </w:p>
    <w:p>
      <w:pPr>
        <w:spacing w:after="0"/>
      </w:pPr>
      <w:r>
        <w:br w:type="page"/>
      </w:r>
    </w:p>
    <w:p>
      <w:pPr>
        <w:pStyle w:val="Heading1"/>
        <w:keepNext/>
        <w:pageBreakBefore w:val="0"/>
      </w:pPr>
      <w:r>
        <w:t>Document control</w:t>
      </w:r>
    </w:p>
    <w:p>
      <w:pPr>
        <w:keepNext w:val="0"/>
        <w:spacing w:before="0" w:after="120" w:line="259" w:lineRule="auto"/>
      </w:pPr>
      <w:r>
        <w:rPr>
          <w:rFonts w:ascii="Arial" w:hAnsi="Arial" w:eastAsia="Arial"/>
          <w:i w:val="0"/>
          <w:color w:val="000000"/>
          <w:sz w:val="21"/>
        </w:rPr>
        <w:t>This runbook becomes operational only after the institution completes the controlled fields, confirms the configured Credit Sense behavior, validates vendor service levels against the executed agreement, and records approval below.</w:t>
      </w:r>
    </w:p>
    <w:p>
      <w:pPr>
        <w:keepNext/>
        <w:spacing w:before="100" w:after="60" w:line="240" w:lineRule="auto"/>
      </w:pPr>
      <w:r>
        <w:rPr>
          <w:rFonts w:ascii="Arial" w:hAnsi="Arial" w:eastAsia="Arial"/>
          <w:b/>
          <w:color w:val="526778"/>
          <w:sz w:val="20"/>
        </w:rPr>
        <w:t>Approval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51"/>
        <w:gridCol w:w="2951"/>
        <w:gridCol w:w="2376"/>
        <w:gridCol w:w="2015"/>
      </w:tblGrid>
      <w:tr>
        <w:trPr>
          <w:tblHeader w:val="true"/>
          <w:cantSplit/>
        </w:trPr>
        <w:tc>
          <w:tcPr>
            <w:tcW w:type="dxa" w:w="2951"/>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Role</w:t>
            </w:r>
          </w:p>
        </w:tc>
        <w:tc>
          <w:tcPr>
            <w:tcW w:type="dxa" w:w="2951"/>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Name</w:t>
            </w:r>
          </w:p>
        </w:tc>
        <w:tc>
          <w:tcPr>
            <w:tcW w:type="dxa" w:w="2376"/>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Decision</w:t>
            </w:r>
          </w:p>
        </w:tc>
        <w:tc>
          <w:tcPr>
            <w:tcW w:type="dxa" w:w="2015"/>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Date</w:t>
            </w:r>
          </w:p>
        </w:tc>
      </w:tr>
      <w:tr>
        <w:trPr>
          <w:cantSplit/>
        </w:trPr>
        <w:tc>
          <w:tcPr>
            <w:tcW w:type="dxa" w:w="2951"/>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Launch owner</w:t>
            </w:r>
          </w:p>
        </w:tc>
        <w:tc>
          <w:tcPr>
            <w:tcW w:type="dxa" w:w="2951"/>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237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t>Approve  Reject</w:t>
            </w:r>
          </w:p>
        </w:tc>
        <w:tc>
          <w:tcPr>
            <w:tcW w:type="dxa" w:w="2015"/>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2951"/>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Customer Support</w:t>
            </w:r>
          </w:p>
        </w:tc>
        <w:tc>
          <w:tcPr>
            <w:tcW w:type="dxa" w:w="2951"/>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237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t>Approve  Reject</w:t>
            </w:r>
          </w:p>
        </w:tc>
        <w:tc>
          <w:tcPr>
            <w:tcW w:type="dxa" w:w="2015"/>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2951"/>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Digital or Technology</w:t>
            </w:r>
          </w:p>
        </w:tc>
        <w:tc>
          <w:tcPr>
            <w:tcW w:type="dxa" w:w="2951"/>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237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t>Approve  Reject</w:t>
            </w:r>
          </w:p>
        </w:tc>
        <w:tc>
          <w:tcPr>
            <w:tcW w:type="dxa" w:w="2015"/>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2951"/>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Risk or Compliance</w:t>
            </w:r>
          </w:p>
        </w:tc>
        <w:tc>
          <w:tcPr>
            <w:tcW w:type="dxa" w:w="2951"/>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237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t>Approve  Reject</w:t>
            </w:r>
          </w:p>
        </w:tc>
        <w:tc>
          <w:tcPr>
            <w:tcW w:type="dxa" w:w="2015"/>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bl>
    <w:p>
      <w:pPr>
        <w:spacing w:after="20"/>
      </w:pPr>
    </w:p>
    <w:p>
      <w:pPr>
        <w:keepNext/>
        <w:spacing w:before="100" w:after="60" w:line="240" w:lineRule="auto"/>
      </w:pPr>
      <w:r>
        <w:rPr>
          <w:rFonts w:ascii="Arial" w:hAnsi="Arial" w:eastAsia="Arial"/>
          <w:b/>
          <w:color w:val="526778"/>
          <w:sz w:val="20"/>
        </w:rPr>
        <w:t>Revision history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2015"/>
        <w:gridCol w:w="5112"/>
        <w:gridCol w:w="1944"/>
      </w:tblGrid>
      <w:tr>
        <w:trPr>
          <w:tblHeader w:val="true"/>
          <w:cantSplit/>
        </w:trPr>
        <w:tc>
          <w:tcPr>
            <w:tcW w:type="dxa" w:w="1224"/>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Version</w:t>
            </w:r>
          </w:p>
        </w:tc>
        <w:tc>
          <w:tcPr>
            <w:tcW w:type="dxa" w:w="2015"/>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Date</w:t>
            </w:r>
          </w:p>
        </w:tc>
        <w:tc>
          <w:tcPr>
            <w:tcW w:type="dxa" w:w="511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Change</w:t>
            </w:r>
          </w:p>
        </w:tc>
        <w:tc>
          <w:tcPr>
            <w:tcW w:type="dxa" w:w="194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Owner</w:t>
            </w:r>
          </w:p>
        </w:tc>
      </w:tr>
      <w:tr>
        <w:trPr>
          <w:cantSplit/>
        </w:trPr>
        <w:tc>
          <w:tcPr>
            <w:tcW w:type="dxa" w:w="1224"/>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color w:val="000000"/>
                <w:sz w:val="18"/>
              </w:rPr>
              <w:t>1.0</w:t>
            </w:r>
          </w:p>
        </w:tc>
        <w:tc>
          <w:tcPr>
            <w:tcW w:type="dxa" w:w="2015"/>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t>September 17, 2026</w:t>
            </w:r>
          </w:p>
        </w:tc>
        <w:tc>
          <w:tcPr>
            <w:tcW w:type="dxa" w:w="511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Initial launch and stabilization runbook</w:t>
            </w:r>
          </w:p>
        </w:tc>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Customer Support Operations</w:t>
            </w:r>
          </w:p>
        </w:tc>
      </w:tr>
      <w:tr>
        <w:trPr>
          <w:cantSplit/>
        </w:trPr>
        <w:tc>
          <w:tcPr>
            <w:tcW w:type="dxa" w:w="1224"/>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color w:val="000000"/>
                <w:sz w:val="18"/>
              </w:rPr>
            </w:r>
          </w:p>
        </w:tc>
        <w:tc>
          <w:tcPr>
            <w:tcW w:type="dxa" w:w="2015"/>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511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9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r>
      <w:tr>
        <w:trPr>
          <w:cantSplit/>
        </w:trPr>
        <w:tc>
          <w:tcPr>
            <w:tcW w:type="dxa" w:w="1224"/>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color w:val="000000"/>
                <w:sz w:val="18"/>
              </w:rPr>
            </w:r>
          </w:p>
        </w:tc>
        <w:tc>
          <w:tcPr>
            <w:tcW w:type="dxa" w:w="2015"/>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511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r>
    </w:tbl>
    <w:p>
      <w:pPr>
        <w:spacing w:after="20"/>
      </w:pPr>
    </w:p>
    <w:p>
      <w:pPr>
        <w:keepNext/>
        <w:spacing w:before="100" w:after="60" w:line="240" w:lineRule="auto"/>
      </w:pPr>
      <w:r>
        <w:rPr>
          <w:rFonts w:ascii="Arial" w:hAnsi="Arial" w:eastAsia="Arial"/>
          <w:b/>
          <w:color w:val="526778"/>
          <w:sz w:val="20"/>
        </w:rPr>
        <w:t>Controlled fields required before approval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Field</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Required entry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Launch scope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Launch date, supported customer segments, supported channels and hours</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Operating systems</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SharePoint site, case queue, known issue register and incident bridge</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Internal contacts</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L2 product SME, on call Technology, Risk, Compliance, Fraud and Privacy</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Vendor contacts</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Assigned Partner Manager, current case route, after hours route and escalation authority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Response commitments</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Approved internal targets and contracted vendor service levels</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Product configuration</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Eligibility, enabled features, refresh cadence, notification settings and unenrollment</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BAU governance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Entry thresholds, approvers, reporting cadence and reentry triggers</w:t>
            </w:r>
          </w:p>
        </w:tc>
      </w:tr>
    </w:tbl>
    <w:p>
      <w:pPr>
        <w:spacing w:after="20"/>
      </w:pPr>
    </w:p>
    <w:p>
      <w:pPr>
        <w:spacing w:after="0"/>
      </w:pPr>
      <w:r>
        <w:br w:type="page"/>
      </w:r>
    </w:p>
    <w:p>
      <w:pPr>
        <w:pStyle w:val="Heading1"/>
        <w:keepNext/>
        <w:pageBreakBefore w:val="0"/>
      </w:pPr>
      <w:r>
        <w:t>Contents</w:t>
      </w:r>
    </w:p>
    <w:p>
      <w:pPr>
        <w:keepNext w:val="0"/>
        <w:spacing w:before="0" w:after="60" w:line="240" w:lineRule="auto"/>
        <w:ind w:left="0"/>
      </w:pPr>
      <w:r>
        <w:rPr>
          <w:rFonts w:ascii="Arial" w:hAnsi="Arial" w:eastAsia="Arial"/>
          <w:b/>
          <w:color w:val="000000"/>
          <w:sz w:val="21"/>
        </w:rPr>
        <w:t>Executive overview</w:t>
      </w:r>
    </w:p>
    <w:p>
      <w:pPr>
        <w:keepNext w:val="0"/>
        <w:spacing w:before="0" w:after="60" w:line="240" w:lineRule="auto"/>
        <w:ind w:left="288"/>
      </w:pPr>
      <w:r>
        <w:rPr>
          <w:rFonts w:ascii="Arial" w:hAnsi="Arial" w:eastAsia="Arial"/>
          <w:b w:val="0"/>
          <w:color w:val="000000"/>
          <w:sz w:val="21"/>
        </w:rPr>
        <w:t>1 Purpose and scope</w:t>
      </w:r>
    </w:p>
    <w:p>
      <w:pPr>
        <w:keepNext w:val="0"/>
        <w:spacing w:before="0" w:after="60" w:line="240" w:lineRule="auto"/>
        <w:ind w:left="288"/>
      </w:pPr>
      <w:r>
        <w:rPr>
          <w:rFonts w:ascii="Arial" w:hAnsi="Arial" w:eastAsia="Arial"/>
          <w:b w:val="0"/>
          <w:color w:val="000000"/>
          <w:sz w:val="21"/>
        </w:rPr>
        <w:t>2 Product capabilities and support boundaries</w:t>
      </w:r>
    </w:p>
    <w:p>
      <w:pPr>
        <w:keepNext w:val="0"/>
        <w:spacing w:before="0" w:after="60" w:line="240" w:lineRule="auto"/>
        <w:ind w:left="288"/>
      </w:pPr>
      <w:r>
        <w:rPr>
          <w:rFonts w:ascii="Arial" w:hAnsi="Arial" w:eastAsia="Arial"/>
          <w:b w:val="0"/>
          <w:color w:val="000000"/>
          <w:sz w:val="21"/>
        </w:rPr>
        <w:t>3 Governance and responsibilities</w:t>
      </w:r>
    </w:p>
    <w:p>
      <w:pPr>
        <w:keepNext w:val="0"/>
        <w:spacing w:before="0" w:after="60" w:line="240" w:lineRule="auto"/>
        <w:ind w:left="288"/>
      </w:pPr>
      <w:r>
        <w:rPr>
          <w:rFonts w:ascii="Arial" w:hAnsi="Arial" w:eastAsia="Arial"/>
          <w:b w:val="0"/>
          <w:color w:val="000000"/>
          <w:sz w:val="21"/>
        </w:rPr>
        <w:t>4 Support channels and controlled knowledge</w:t>
      </w:r>
    </w:p>
    <w:p>
      <w:pPr>
        <w:keepNext w:val="0"/>
        <w:spacing w:before="0" w:after="60" w:line="240" w:lineRule="auto"/>
        <w:ind w:left="288"/>
      </w:pPr>
      <w:r>
        <w:rPr>
          <w:rFonts w:ascii="Arial" w:hAnsi="Arial" w:eastAsia="Arial"/>
          <w:b w:val="0"/>
          <w:color w:val="000000"/>
          <w:sz w:val="21"/>
        </w:rPr>
        <w:t>5 Launch readiness and go or no go</w:t>
      </w:r>
    </w:p>
    <w:p>
      <w:pPr>
        <w:keepNext w:val="0"/>
        <w:spacing w:before="0" w:after="60" w:line="240" w:lineRule="auto"/>
        <w:ind w:left="288"/>
      </w:pPr>
      <w:r>
        <w:rPr>
          <w:rFonts w:ascii="Arial" w:hAnsi="Arial" w:eastAsia="Arial"/>
          <w:b w:val="0"/>
          <w:color w:val="000000"/>
          <w:sz w:val="21"/>
        </w:rPr>
        <w:t>6 Day 0 through Day 30 hypercare</w:t>
      </w:r>
    </w:p>
    <w:p>
      <w:pPr>
        <w:keepNext w:val="0"/>
        <w:spacing w:before="0" w:after="60" w:line="240" w:lineRule="auto"/>
        <w:ind w:left="288"/>
      </w:pPr>
      <w:r>
        <w:rPr>
          <w:rFonts w:ascii="Arial" w:hAnsi="Arial" w:eastAsia="Arial"/>
          <w:b w:val="0"/>
          <w:color w:val="000000"/>
          <w:sz w:val="21"/>
        </w:rPr>
        <w:t>7 Case intake and data handling</w:t>
      </w:r>
    </w:p>
    <w:p>
      <w:pPr>
        <w:keepNext w:val="0"/>
        <w:spacing w:before="0" w:after="60" w:line="240" w:lineRule="auto"/>
        <w:ind w:left="288"/>
      </w:pPr>
      <w:r>
        <w:rPr>
          <w:rFonts w:ascii="Arial" w:hAnsi="Arial" w:eastAsia="Arial"/>
          <w:b w:val="0"/>
          <w:color w:val="000000"/>
          <w:sz w:val="21"/>
        </w:rPr>
        <w:t>8 Priority classification and response</w:t>
      </w:r>
    </w:p>
    <w:p>
      <w:pPr>
        <w:keepNext w:val="0"/>
        <w:spacing w:before="0" w:after="60" w:line="240" w:lineRule="auto"/>
        <w:ind w:left="288"/>
      </w:pPr>
      <w:r>
        <w:rPr>
          <w:rFonts w:ascii="Arial" w:hAnsi="Arial" w:eastAsia="Arial"/>
          <w:b w:val="0"/>
          <w:color w:val="000000"/>
          <w:sz w:val="21"/>
        </w:rPr>
        <w:t>9 Frontline triage workflow</w:t>
      </w:r>
    </w:p>
    <w:p>
      <w:pPr>
        <w:keepNext w:val="0"/>
        <w:spacing w:before="0" w:after="60" w:line="240" w:lineRule="auto"/>
        <w:ind w:left="288"/>
      </w:pPr>
      <w:r>
        <w:rPr>
          <w:rFonts w:ascii="Arial" w:hAnsi="Arial" w:eastAsia="Arial"/>
          <w:b w:val="0"/>
          <w:color w:val="000000"/>
          <w:sz w:val="21"/>
        </w:rPr>
        <w:t>10 Access enrollment and display procedures</w:t>
      </w:r>
    </w:p>
    <w:p>
      <w:pPr>
        <w:keepNext w:val="0"/>
        <w:spacing w:before="0" w:after="60" w:line="240" w:lineRule="auto"/>
        <w:ind w:left="288"/>
      </w:pPr>
      <w:r>
        <w:rPr>
          <w:rFonts w:ascii="Arial" w:hAnsi="Arial" w:eastAsia="Arial"/>
          <w:b w:val="0"/>
          <w:color w:val="000000"/>
          <w:sz w:val="21"/>
        </w:rPr>
        <w:t>11 Score report monitoring and alert procedures</w:t>
      </w:r>
    </w:p>
    <w:p>
      <w:pPr>
        <w:keepNext w:val="0"/>
        <w:spacing w:before="0" w:after="60" w:line="240" w:lineRule="auto"/>
        <w:ind w:left="288"/>
      </w:pPr>
      <w:r>
        <w:rPr>
          <w:rFonts w:ascii="Arial" w:hAnsi="Arial" w:eastAsia="Arial"/>
          <w:b w:val="0"/>
          <w:color w:val="000000"/>
          <w:sz w:val="21"/>
        </w:rPr>
        <w:t>12 Complaints privacy fraud and identity theft</w:t>
      </w:r>
    </w:p>
    <w:p>
      <w:pPr>
        <w:keepNext w:val="0"/>
        <w:spacing w:before="0" w:after="60" w:line="240" w:lineRule="auto"/>
        <w:ind w:left="288"/>
      </w:pPr>
      <w:r>
        <w:rPr>
          <w:rFonts w:ascii="Arial" w:hAnsi="Arial" w:eastAsia="Arial"/>
          <w:b w:val="0"/>
          <w:color w:val="000000"/>
          <w:sz w:val="21"/>
        </w:rPr>
        <w:t>13 Major incident management</w:t>
      </w:r>
    </w:p>
    <w:p>
      <w:pPr>
        <w:keepNext w:val="0"/>
        <w:spacing w:before="0" w:after="60" w:line="240" w:lineRule="auto"/>
        <w:ind w:left="288"/>
      </w:pPr>
      <w:r>
        <w:rPr>
          <w:rFonts w:ascii="Arial" w:hAnsi="Arial" w:eastAsia="Arial"/>
          <w:b w:val="0"/>
          <w:color w:val="000000"/>
          <w:sz w:val="21"/>
        </w:rPr>
        <w:t>14 Vendor escalation and oversight</w:t>
      </w:r>
    </w:p>
    <w:p>
      <w:pPr>
        <w:keepNext w:val="0"/>
        <w:spacing w:before="0" w:after="60" w:line="240" w:lineRule="auto"/>
        <w:ind w:left="288"/>
      </w:pPr>
      <w:r>
        <w:rPr>
          <w:rFonts w:ascii="Arial" w:hAnsi="Arial" w:eastAsia="Arial"/>
          <w:b w:val="0"/>
          <w:color w:val="000000"/>
          <w:sz w:val="21"/>
        </w:rPr>
        <w:t>15 Customer communication standards</w:t>
      </w:r>
    </w:p>
    <w:p>
      <w:pPr>
        <w:keepNext w:val="0"/>
        <w:spacing w:before="0" w:after="60" w:line="240" w:lineRule="auto"/>
        <w:ind w:left="288"/>
      </w:pPr>
      <w:r>
        <w:rPr>
          <w:rFonts w:ascii="Arial" w:hAnsi="Arial" w:eastAsia="Arial"/>
          <w:b w:val="0"/>
          <w:color w:val="000000"/>
          <w:sz w:val="21"/>
        </w:rPr>
        <w:t>16 Metrics daily review and management reporting</w:t>
      </w:r>
    </w:p>
    <w:p>
      <w:pPr>
        <w:keepNext w:val="0"/>
        <w:spacing w:before="0" w:after="60" w:line="240" w:lineRule="auto"/>
        <w:ind w:left="288"/>
      </w:pPr>
      <w:r>
        <w:rPr>
          <w:rFonts w:ascii="Arial" w:hAnsi="Arial" w:eastAsia="Arial"/>
          <w:b w:val="0"/>
          <w:color w:val="000000"/>
          <w:sz w:val="21"/>
        </w:rPr>
        <w:t>17 Transition to business as usual</w:t>
      </w:r>
    </w:p>
    <w:p>
      <w:pPr>
        <w:keepNext w:val="0"/>
        <w:spacing w:before="0" w:after="60" w:line="240" w:lineRule="auto"/>
        <w:ind w:left="0"/>
      </w:pPr>
      <w:r>
        <w:rPr>
          <w:rFonts w:ascii="Arial" w:hAnsi="Arial" w:eastAsia="Arial"/>
          <w:b/>
          <w:color w:val="000000"/>
          <w:sz w:val="21"/>
        </w:rPr>
        <w:t>Appendix A Verified product facts</w:t>
      </w:r>
    </w:p>
    <w:p>
      <w:pPr>
        <w:keepNext w:val="0"/>
        <w:spacing w:before="0" w:after="60" w:line="240" w:lineRule="auto"/>
        <w:ind w:left="0"/>
      </w:pPr>
      <w:r>
        <w:rPr>
          <w:rFonts w:ascii="Arial" w:hAnsi="Arial" w:eastAsia="Arial"/>
          <w:b/>
          <w:color w:val="000000"/>
          <w:sz w:val="21"/>
        </w:rPr>
        <w:t>Appendix B Contact directory</w:t>
      </w:r>
    </w:p>
    <w:p>
      <w:pPr>
        <w:keepNext w:val="0"/>
        <w:spacing w:before="0" w:after="60" w:line="240" w:lineRule="auto"/>
        <w:ind w:left="0"/>
      </w:pPr>
      <w:r>
        <w:rPr>
          <w:rFonts w:ascii="Arial" w:hAnsi="Arial" w:eastAsia="Arial"/>
          <w:b/>
          <w:color w:val="000000"/>
          <w:sz w:val="21"/>
        </w:rPr>
        <w:t>Appendix C Operational templates</w:t>
      </w:r>
    </w:p>
    <w:p>
      <w:pPr>
        <w:keepNext w:val="0"/>
        <w:spacing w:before="0" w:after="60" w:line="240" w:lineRule="auto"/>
        <w:ind w:left="0"/>
      </w:pPr>
      <w:r>
        <w:rPr>
          <w:rFonts w:ascii="Arial" w:hAnsi="Arial" w:eastAsia="Arial"/>
          <w:b/>
          <w:color w:val="000000"/>
          <w:sz w:val="21"/>
        </w:rPr>
        <w:t>Appendix D Source register</w:t>
      </w:r>
    </w:p>
    <w:p>
      <w:pPr>
        <w:keepNext w:val="0"/>
        <w:spacing w:before="60" w:after="140" w:line="254" w:lineRule="auto"/>
      </w:pPr>
      <w:r>
        <w:rPr>
          <w:rFonts w:ascii="Arial" w:hAnsi="Arial" w:eastAsia="Arial"/>
          <w:b/>
          <w:color w:val="526778"/>
          <w:sz w:val="21"/>
        </w:rPr>
        <w:t xml:space="preserve">Navigation note  </w:t>
      </w:r>
      <w:r>
        <w:rPr>
          <w:rFonts w:ascii="Arial" w:hAnsi="Arial" w:eastAsia="Arial"/>
          <w:color w:val="000000"/>
          <w:sz w:val="21"/>
        </w:rPr>
        <w:t>Word users can also use the Navigation pane to move between numbered headings and appendices.</w:t>
      </w:r>
    </w:p>
    <w:p>
      <w:pPr>
        <w:spacing w:after="0"/>
      </w:pPr>
      <w:r>
        <w:br w:type="page"/>
      </w:r>
    </w:p>
    <w:p>
      <w:pPr>
        <w:pStyle w:val="Heading1"/>
        <w:keepNext/>
        <w:pageBreakBefore w:val="0"/>
      </w:pPr>
      <w:r>
        <w:t>Executive overview</w:t>
      </w:r>
    </w:p>
    <w:p>
      <w:pPr>
        <w:keepNext w:val="0"/>
        <w:spacing w:before="0" w:after="120" w:line="259" w:lineRule="auto"/>
      </w:pPr>
      <w:r>
        <w:rPr>
          <w:rFonts w:ascii="Arial" w:hAnsi="Arial" w:eastAsia="Arial"/>
          <w:i w:val="0"/>
          <w:color w:val="000000"/>
          <w:sz w:val="21"/>
        </w:rPr>
        <w:t>This runbook defines how the institution will support SavvyMoney Credit Sense from launch through stabilization and the formal transition to business as usual. It gives Customer Support, Digital, Technology, Operations, Risk, Compliance, Fraud, Privacy and vendor partners one set of roles, escalation rules, case standards and decision criteria.</w:t>
      </w:r>
    </w:p>
    <w:p>
      <w:pPr>
        <w:keepNext w:val="0"/>
        <w:spacing w:before="0" w:after="120" w:line="259" w:lineRule="auto"/>
      </w:pPr>
      <w:r>
        <w:rPr>
          <w:rFonts w:ascii="Arial" w:hAnsi="Arial" w:eastAsia="Arial"/>
          <w:i w:val="0"/>
          <w:color w:val="000000"/>
          <w:sz w:val="21"/>
        </w:rPr>
        <w:t>The institution retains ownership of the customer relationship and the end to end case. A vendor or bureau referral does not close the institution case until the receiving path is confirmed, the customer knows what will happen next, and the internal owner records the outcome.</w:t>
      </w:r>
    </w:p>
    <w:p>
      <w:pPr>
        <w:keepNext w:val="0"/>
        <w:spacing w:before="0" w:after="120" w:line="259" w:lineRule="auto"/>
      </w:pPr>
      <w:r>
        <w:rPr>
          <w:rFonts w:ascii="Arial" w:hAnsi="Arial" w:eastAsia="Arial"/>
          <w:i w:val="0"/>
          <w:color w:val="000000"/>
          <w:sz w:val="21"/>
        </w:rPr>
        <w:t>Day 30 is a target for the stabilization decision. The governance team enters business as usual only after service stability, support demand, customer protection, knowledge readiness, operational ownership and residual risk meet the approved criteria in Section 17.</w:t>
      </w:r>
    </w:p>
    <w:p>
      <w:pPr>
        <w:keepNext/>
        <w:spacing w:before="100" w:after="60" w:line="240" w:lineRule="auto"/>
      </w:pPr>
      <w:r>
        <w:rPr>
          <w:rFonts w:ascii="Arial" w:hAnsi="Arial" w:eastAsia="Arial"/>
          <w:b/>
          <w:color w:val="526778"/>
          <w:sz w:val="20"/>
        </w:rPr>
        <w:t>Launch support outcomes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960"/>
        <w:gridCol w:w="6336"/>
      </w:tblGrid>
      <w:tr>
        <w:trPr>
          <w:tblHeader w:val="true"/>
          <w:cantSplit/>
        </w:trPr>
        <w:tc>
          <w:tcPr>
            <w:tcW w:type="dxa" w:w="396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Outcome</w:t>
            </w:r>
          </w:p>
        </w:tc>
        <w:tc>
          <w:tcPr>
            <w:tcW w:type="dxa" w:w="633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Evidence</w:t>
            </w:r>
          </w:p>
        </w:tc>
      </w:tr>
      <w:tr>
        <w:trPr>
          <w:cantSplit/>
        </w:trPr>
        <w:tc>
          <w:tcPr>
            <w:tcW w:type="dxa" w:w="396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Customers receive consistent answers</w:t>
            </w:r>
          </w:p>
        </w:tc>
        <w:tc>
          <w:tcPr>
            <w:tcW w:type="dxa" w:w="63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t>Approved scripts, controlled knowledge and quality review results</w:t>
            </w:r>
          </w:p>
        </w:tc>
      </w:tr>
      <w:tr>
        <w:trPr>
          <w:cantSplit/>
        </w:trPr>
        <w:tc>
          <w:tcPr>
            <w:tcW w:type="dxa" w:w="396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Complex cases reach the correct owner quickly</w:t>
            </w:r>
          </w:p>
        </w:tc>
        <w:tc>
          <w:tcPr>
            <w:tcW w:type="dxa" w:w="63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t>Priority, routing, acceptance and update timestamps</w:t>
            </w:r>
          </w:p>
        </w:tc>
      </w:tr>
      <w:tr>
        <w:trPr>
          <w:cantSplit/>
        </w:trPr>
        <w:tc>
          <w:tcPr>
            <w:tcW w:type="dxa" w:w="396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Customer harm signals receive specialist review</w:t>
            </w:r>
          </w:p>
        </w:tc>
        <w:tc>
          <w:tcPr>
            <w:tcW w:type="dxa" w:w="63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t>Complaint, fraud and privacy referrals with documented disposition</w:t>
            </w:r>
          </w:p>
        </w:tc>
      </w:tr>
      <w:tr>
        <w:trPr>
          <w:cantSplit/>
        </w:trPr>
        <w:tc>
          <w:tcPr>
            <w:tcW w:type="dxa" w:w="396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Launch decisions use current operating data</w:t>
            </w:r>
          </w:p>
        </w:tc>
        <w:tc>
          <w:tcPr>
            <w:tcW w:type="dxa" w:w="63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t>Daily volume, containment, escalation, backlog, repeat contact and incident reporting</w:t>
            </w:r>
          </w:p>
        </w:tc>
      </w:tr>
      <w:tr>
        <w:trPr>
          <w:cantSplit/>
        </w:trPr>
        <w:tc>
          <w:tcPr>
            <w:tcW w:type="dxa" w:w="396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BAU begins through an explicit decision</w:t>
            </w:r>
          </w:p>
        </w:tc>
        <w:tc>
          <w:tcPr>
            <w:tcW w:type="dxa" w:w="63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t>Signed BAU approval record with residual risks and follow up dates</w:t>
            </w:r>
          </w:p>
        </w:tc>
      </w:tr>
    </w:tbl>
    <w:p>
      <w:pPr>
        <w:spacing w:after="20"/>
      </w:pPr>
    </w:p>
    <w:p>
      <w:pPr>
        <w:spacing w:after="0"/>
      </w:pPr>
      <w:r>
        <w:br w:type="page"/>
      </w:r>
    </w:p>
    <w:p>
      <w:pPr>
        <w:pStyle w:val="Heading1"/>
        <w:keepNext/>
        <w:pageBreakBefore w:val="0"/>
      </w:pPr>
      <w:r>
        <w:t>1 Purpose and scope</w:t>
      </w:r>
    </w:p>
    <w:p>
      <w:pPr>
        <w:pStyle w:val="Heading2"/>
        <w:keepNext/>
      </w:pPr>
      <w:r>
        <w:t>1.1 Purpose</w:t>
      </w:r>
    </w:p>
    <w:p>
      <w:pPr>
        <w:keepNext w:val="0"/>
        <w:spacing w:before="0" w:after="120" w:line="259" w:lineRule="auto"/>
      </w:pPr>
      <w:r>
        <w:rPr>
          <w:rFonts w:ascii="Arial" w:hAnsi="Arial" w:eastAsia="Arial"/>
          <w:i w:val="0"/>
          <w:color w:val="000000"/>
          <w:sz w:val="21"/>
        </w:rPr>
        <w:t>The runbook controls customer support operations for the Credit Sense launch. It is the primary operating reference during hypercare and the baseline for the BAU procedure that follows stabilization.</w:t>
      </w:r>
    </w:p>
    <w:p>
      <w:pPr>
        <w:pStyle w:val="Heading2"/>
        <w:keepNext/>
      </w:pPr>
      <w:r>
        <w:t>1.2 In scope</w:t>
      </w:r>
    </w:p>
    <w:p>
      <w:pPr>
        <w:pStyle w:val="ListBullet"/>
        <w:keepNext w:val="0"/>
        <w:spacing w:before="0" w:after="40" w:line="252" w:lineRule="auto"/>
      </w:pPr>
      <w:r>
        <w:rPr>
          <w:rFonts w:ascii="Arial" w:hAnsi="Arial" w:eastAsia="Arial"/>
          <w:color w:val="000000"/>
          <w:sz w:val="21"/>
        </w:rPr>
        <w:t>Online and mobile access to Credit Sense through the institution’s digital banking channels</w:t>
      </w:r>
    </w:p>
    <w:p>
      <w:pPr>
        <w:pStyle w:val="ListBullet"/>
        <w:keepNext w:val="0"/>
        <w:spacing w:before="0" w:after="40" w:line="252" w:lineRule="auto"/>
      </w:pPr>
      <w:r>
        <w:rPr>
          <w:rFonts w:ascii="Arial" w:hAnsi="Arial" w:eastAsia="Arial"/>
          <w:color w:val="000000"/>
          <w:sz w:val="21"/>
        </w:rPr>
        <w:t>Enrollment, navigation, product education and configured self service</w:t>
      </w:r>
    </w:p>
    <w:p>
      <w:pPr>
        <w:pStyle w:val="ListBullet"/>
        <w:keepNext w:val="0"/>
        <w:spacing w:before="0" w:after="40" w:line="252" w:lineRule="auto"/>
      </w:pPr>
      <w:r>
        <w:rPr>
          <w:rFonts w:ascii="Arial" w:hAnsi="Arial" w:eastAsia="Arial"/>
          <w:color w:val="000000"/>
          <w:sz w:val="21"/>
        </w:rPr>
        <w:t>Questions about scores, reports, monitoring, alerts and score simulation</w:t>
      </w:r>
    </w:p>
    <w:p>
      <w:pPr>
        <w:pStyle w:val="ListBullet"/>
        <w:keepNext w:val="0"/>
        <w:spacing w:before="0" w:after="40" w:line="252" w:lineRule="auto"/>
      </w:pPr>
      <w:r>
        <w:rPr>
          <w:rFonts w:ascii="Arial" w:hAnsi="Arial" w:eastAsia="Arial"/>
          <w:color w:val="000000"/>
          <w:sz w:val="21"/>
        </w:rPr>
        <w:t>Customer complaints, privacy questions, suspected fraud and identity theft routing</w:t>
      </w:r>
    </w:p>
    <w:p>
      <w:pPr>
        <w:pStyle w:val="ListBullet"/>
        <w:keepNext w:val="0"/>
        <w:spacing w:before="0" w:after="40" w:line="252" w:lineRule="auto"/>
      </w:pPr>
      <w:r>
        <w:rPr>
          <w:rFonts w:ascii="Arial" w:hAnsi="Arial" w:eastAsia="Arial"/>
          <w:color w:val="000000"/>
          <w:sz w:val="21"/>
        </w:rPr>
        <w:t>Production incidents, vendor cases, launch reporting and BAU transition</w:t>
      </w:r>
    </w:p>
    <w:p>
      <w:pPr>
        <w:pStyle w:val="Heading2"/>
        <w:keepNext/>
      </w:pPr>
      <w:r>
        <w:t>1.3 Outside routine frontline support</w:t>
      </w:r>
    </w:p>
    <w:p>
      <w:pPr>
        <w:pStyle w:val="ListBullet"/>
        <w:keepNext w:val="0"/>
        <w:spacing w:before="0" w:after="40" w:line="252" w:lineRule="auto"/>
      </w:pPr>
      <w:r>
        <w:rPr>
          <w:rFonts w:ascii="Arial" w:hAnsi="Arial" w:eastAsia="Arial"/>
          <w:color w:val="000000"/>
          <w:sz w:val="21"/>
        </w:rPr>
        <w:t>Changing information held by a credit reporting agency</w:t>
      </w:r>
    </w:p>
    <w:p>
      <w:pPr>
        <w:pStyle w:val="ListBullet"/>
        <w:keepNext w:val="0"/>
        <w:spacing w:before="0" w:after="40" w:line="252" w:lineRule="auto"/>
      </w:pPr>
      <w:r>
        <w:rPr>
          <w:rFonts w:ascii="Arial" w:hAnsi="Arial" w:eastAsia="Arial"/>
          <w:color w:val="000000"/>
          <w:sz w:val="21"/>
        </w:rPr>
        <w:t>Predicting a future credit score or lending decision</w:t>
      </w:r>
    </w:p>
    <w:p>
      <w:pPr>
        <w:pStyle w:val="ListBullet"/>
        <w:keepNext w:val="0"/>
        <w:spacing w:before="0" w:after="40" w:line="252" w:lineRule="auto"/>
      </w:pPr>
      <w:r>
        <w:rPr>
          <w:rFonts w:ascii="Arial" w:hAnsi="Arial" w:eastAsia="Arial"/>
          <w:color w:val="000000"/>
          <w:sz w:val="21"/>
        </w:rPr>
        <w:t>Providing credit repair, legal, tax or financial advice</w:t>
      </w:r>
    </w:p>
    <w:p>
      <w:pPr>
        <w:pStyle w:val="ListBullet"/>
        <w:keepNext w:val="0"/>
        <w:spacing w:before="0" w:after="40" w:line="252" w:lineRule="auto"/>
      </w:pPr>
      <w:r>
        <w:rPr>
          <w:rFonts w:ascii="Arial" w:hAnsi="Arial" w:eastAsia="Arial"/>
          <w:color w:val="000000"/>
          <w:sz w:val="21"/>
        </w:rPr>
        <w:t>Interpreting a full credit report on behalf of a customer</w:t>
      </w:r>
    </w:p>
    <w:p>
      <w:pPr>
        <w:pStyle w:val="ListBullet"/>
        <w:keepNext w:val="0"/>
        <w:spacing w:before="0" w:after="40" w:line="252" w:lineRule="auto"/>
      </w:pPr>
      <w:r>
        <w:rPr>
          <w:rFonts w:ascii="Arial" w:hAnsi="Arial" w:eastAsia="Arial"/>
          <w:color w:val="000000"/>
          <w:sz w:val="21"/>
        </w:rPr>
        <w:t>Making changes to underwriting criteria or product eligibility</w:t>
      </w:r>
    </w:p>
    <w:p>
      <w:pPr>
        <w:pStyle w:val="Heading2"/>
        <w:keepNext/>
      </w:pPr>
      <w:r>
        <w:t>1.4 Audience</w:t>
      </w:r>
    </w:p>
    <w:p>
      <w:pPr>
        <w:keepNext w:val="0"/>
        <w:spacing w:before="0" w:after="120" w:line="259" w:lineRule="auto"/>
      </w:pPr>
      <w:r>
        <w:rPr>
          <w:rFonts w:ascii="Arial" w:hAnsi="Arial" w:eastAsia="Arial"/>
          <w:i w:val="0"/>
          <w:color w:val="000000"/>
          <w:sz w:val="21"/>
        </w:rPr>
        <w:t>Primary users are Customer Support leaders and agents, Digital and Credit Sense subject matter experts, Technology incident responders, Operations, Risk, Compliance, Fraud, Privacy, Communications and the vendor management team. Executives and governance committees can use the reporting and transition sections for launch oversight.</w:t>
      </w:r>
    </w:p>
    <w:p>
      <w:pPr>
        <w:spacing w:after="0"/>
      </w:pPr>
      <w:r>
        <w:br w:type="page"/>
      </w:r>
    </w:p>
    <w:p>
      <w:pPr>
        <w:pStyle w:val="Heading1"/>
        <w:keepNext/>
        <w:pageBreakBefore w:val="0"/>
      </w:pPr>
      <w:r>
        <w:t>2 Product capabilities and support boundaries</w:t>
      </w:r>
    </w:p>
    <w:p>
      <w:pPr>
        <w:pStyle w:val="Heading2"/>
        <w:keepNext/>
      </w:pPr>
      <w:r>
        <w:t>2.1 Product summary</w:t>
      </w:r>
    </w:p>
    <w:p>
      <w:pPr>
        <w:keepNext w:val="0"/>
        <w:spacing w:before="0" w:after="120" w:line="259" w:lineRule="auto"/>
      </w:pPr>
      <w:r>
        <w:rPr>
          <w:rFonts w:ascii="Arial" w:hAnsi="Arial" w:eastAsia="Arial"/>
          <w:i w:val="0"/>
          <w:color w:val="000000"/>
          <w:sz w:val="21"/>
        </w:rPr>
        <w:t>SavvyMoney Credit Sense is embedded in participating financial institutions’ digital banking environments. Public SavvyMoney materials describe access to a TransUnion VantageScore 3.0 score, a credit report, score analysis, a simulator, monitoring and alerts, educational content and institution offers. The institution must remove any feature from this runbook that it did not enable.</w:t>
      </w:r>
    </w:p>
    <w:p>
      <w:pPr>
        <w:keepNext/>
        <w:spacing w:before="100" w:after="60" w:line="240" w:lineRule="auto"/>
      </w:pPr>
      <w:r>
        <w:rPr>
          <w:rFonts w:ascii="Arial" w:hAnsi="Arial" w:eastAsia="Arial"/>
          <w:b/>
          <w:color w:val="526778"/>
          <w:sz w:val="20"/>
        </w:rPr>
        <w:t>Support boundaries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4392"/>
        <w:gridCol w:w="3816"/>
      </w:tblGrid>
      <w:tr>
        <w:trPr>
          <w:tblHeader w:val="true"/>
          <w:cantSplit/>
        </w:trPr>
        <w:tc>
          <w:tcPr>
            <w:tcW w:type="dxa" w:w="208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Topic</w:t>
            </w:r>
          </w:p>
        </w:tc>
        <w:tc>
          <w:tcPr>
            <w:tcW w:type="dxa" w:w="439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Institution responsibility</w:t>
            </w:r>
          </w:p>
        </w:tc>
        <w:tc>
          <w:tcPr>
            <w:tcW w:type="dxa" w:w="38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External responsibility</w:t>
            </w:r>
          </w:p>
        </w:tc>
      </w:tr>
      <w:tr>
        <w:trPr>
          <w:cantSplit/>
        </w:trPr>
        <w:tc>
          <w:tcPr>
            <w:tcW w:type="dxa" w:w="20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Digital access</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Authenticate, diagnose channel access and manage the customer case</w:t>
            </w:r>
          </w:p>
        </w:tc>
        <w:tc>
          <w:tcPr>
            <w:tcW w:type="dxa" w:w="38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SavvyMoney and platform providers resolve confirmed defects</w:t>
            </w:r>
          </w:p>
        </w:tc>
      </w:tr>
      <w:tr>
        <w:trPr>
          <w:cantSplit/>
        </w:trPr>
        <w:tc>
          <w:tcPr>
            <w:tcW w:type="dxa" w:w="20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Product explanation</w:t>
            </w:r>
          </w:p>
        </w:tc>
        <w:tc>
          <w:tcPr>
            <w:tcW w:type="dxa" w:w="43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Explain configured features using approved language</w:t>
            </w:r>
          </w:p>
        </w:tc>
        <w:tc>
          <w:tcPr>
            <w:tcW w:type="dxa" w:w="38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SavvyMoney supplies product documentation and partner support</w:t>
            </w:r>
          </w:p>
        </w:tc>
      </w:tr>
      <w:tr>
        <w:trPr>
          <w:cantSplit/>
        </w:trPr>
        <w:tc>
          <w:tcPr>
            <w:tcW w:type="dxa" w:w="20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Credit report accuracy</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Explain the dispute path and retain any related complaint</w:t>
            </w:r>
          </w:p>
        </w:tc>
        <w:tc>
          <w:tcPr>
            <w:tcW w:type="dxa" w:w="38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TransUnion investigates inaccurate or incomplete report information</w:t>
            </w:r>
          </w:p>
        </w:tc>
      </w:tr>
      <w:tr>
        <w:trPr>
          <w:cantSplit/>
        </w:trPr>
        <w:tc>
          <w:tcPr>
            <w:tcW w:type="dxa" w:w="20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Credit score</w:t>
            </w:r>
          </w:p>
        </w:tc>
        <w:tc>
          <w:tcPr>
            <w:tcW w:type="dxa" w:w="43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Explain that models, bureaus and dates can differ</w:t>
            </w:r>
          </w:p>
        </w:tc>
        <w:tc>
          <w:tcPr>
            <w:tcW w:type="dxa" w:w="38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The bureau and model calculate the score from available report information</w:t>
            </w:r>
          </w:p>
        </w:tc>
      </w:tr>
      <w:tr>
        <w:trPr>
          <w:cantSplit/>
        </w:trPr>
        <w:tc>
          <w:tcPr>
            <w:tcW w:type="dxa" w:w="20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Fraud or identity theft</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Protect institution accounts and follow the fraud procedure</w:t>
            </w:r>
          </w:p>
        </w:tc>
        <w:tc>
          <w:tcPr>
            <w:tcW w:type="dxa" w:w="38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TransUnion provides freezes, fraud alerts and dispute resources</w:t>
            </w:r>
          </w:p>
        </w:tc>
      </w:tr>
      <w:tr>
        <w:trPr>
          <w:cantSplit/>
        </w:trPr>
        <w:tc>
          <w:tcPr>
            <w:tcW w:type="dxa" w:w="20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Privacy</w:t>
            </w:r>
          </w:p>
        </w:tc>
        <w:tc>
          <w:tcPr>
            <w:tcW w:type="dxa" w:w="43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Apply institution privacy procedures and oversee the service provider</w:t>
            </w:r>
          </w:p>
        </w:tc>
        <w:tc>
          <w:tcPr>
            <w:tcW w:type="dxa" w:w="38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SavvyMoney handles requests within its role and published policy</w:t>
            </w:r>
          </w:p>
        </w:tc>
      </w:tr>
    </w:tbl>
    <w:p>
      <w:pPr>
        <w:spacing w:after="20"/>
      </w:pPr>
    </w:p>
    <w:p>
      <w:pPr>
        <w:pStyle w:val="Heading2"/>
        <w:keepNext/>
      </w:pPr>
      <w:r>
        <w:t>2.2 Statements frontline staff may use</w:t>
      </w:r>
    </w:p>
    <w:p>
      <w:pPr>
        <w:pStyle w:val="ListBullet"/>
        <w:keepNext w:val="0"/>
        <w:spacing w:before="0" w:after="40" w:line="252" w:lineRule="auto"/>
      </w:pPr>
      <w:r>
        <w:rPr>
          <w:rFonts w:ascii="Arial" w:hAnsi="Arial" w:eastAsia="Arial"/>
          <w:color w:val="000000"/>
          <w:sz w:val="21"/>
        </w:rPr>
        <w:t>The displayed score uses TransUnion data and VantageScore 3.0, with a range from 300 to 850.</w:t>
      </w:r>
    </w:p>
    <w:p>
      <w:pPr>
        <w:pStyle w:val="ListBullet"/>
        <w:keepNext w:val="0"/>
        <w:spacing w:before="0" w:after="40" w:line="252" w:lineRule="auto"/>
      </w:pPr>
      <w:r>
        <w:rPr>
          <w:rFonts w:ascii="Arial" w:hAnsi="Arial" w:eastAsia="Arial"/>
          <w:color w:val="000000"/>
          <w:sz w:val="21"/>
        </w:rPr>
        <w:t>Checking Credit Sense uses a soft inquiry and does not lower the customer’s score.</w:t>
      </w:r>
    </w:p>
    <w:p>
      <w:pPr>
        <w:pStyle w:val="ListBullet"/>
        <w:keepNext w:val="0"/>
        <w:spacing w:before="0" w:after="40" w:line="252" w:lineRule="auto"/>
      </w:pPr>
      <w:r>
        <w:rPr>
          <w:rFonts w:ascii="Arial" w:hAnsi="Arial" w:eastAsia="Arial"/>
          <w:color w:val="000000"/>
          <w:sz w:val="21"/>
        </w:rPr>
        <w:t>A customer can manually refresh the score and report as often as once every 24 hours.</w:t>
      </w:r>
    </w:p>
    <w:p>
      <w:pPr>
        <w:pStyle w:val="ListBullet"/>
        <w:keepNext w:val="0"/>
        <w:spacing w:before="0" w:after="40" w:line="252" w:lineRule="auto"/>
      </w:pPr>
      <w:r>
        <w:rPr>
          <w:rFonts w:ascii="Arial" w:hAnsi="Arial" w:eastAsia="Arial"/>
          <w:color w:val="000000"/>
          <w:sz w:val="21"/>
        </w:rPr>
        <w:t>Scores can differ when a lender uses another bureau, scoring model or date.</w:t>
      </w:r>
    </w:p>
    <w:p>
      <w:pPr>
        <w:pStyle w:val="ListBullet"/>
        <w:keepNext w:val="0"/>
        <w:spacing w:before="0" w:after="40" w:line="252" w:lineRule="auto"/>
      </w:pPr>
      <w:r>
        <w:rPr>
          <w:rFonts w:ascii="Arial" w:hAnsi="Arial" w:eastAsia="Arial"/>
          <w:color w:val="000000"/>
          <w:sz w:val="21"/>
        </w:rPr>
        <w:t>A score itself cannot be disputed. Inaccurate or incomplete report information can be disputed.</w:t>
      </w:r>
    </w:p>
    <w:p>
      <w:pPr>
        <w:keepNext w:val="0"/>
        <w:spacing w:before="60" w:after="140" w:line="254" w:lineRule="auto"/>
      </w:pPr>
      <w:r>
        <w:rPr>
          <w:rFonts w:ascii="Arial" w:hAnsi="Arial" w:eastAsia="Arial"/>
          <w:b/>
          <w:color w:val="A61B1B"/>
          <w:sz w:val="21"/>
        </w:rPr>
        <w:t xml:space="preserve">Configuration warning  </w:t>
      </w:r>
      <w:r>
        <w:rPr>
          <w:rFonts w:ascii="Arial" w:hAnsi="Arial" w:eastAsia="Arial"/>
          <w:color w:val="000000"/>
          <w:sz w:val="21"/>
        </w:rPr>
        <w:t>Public SavvyMoney materials conflict on the automatic refresh cadence. One FAQ says every seven days, while the current public feature guide says at least monthly. Frontline staff must not promise an automatic cadence until the institution confirms the production configuration.</w:t>
      </w:r>
    </w:p>
    <w:p>
      <w:pPr>
        <w:spacing w:after="0"/>
      </w:pPr>
      <w:r>
        <w:br w:type="page"/>
      </w:r>
    </w:p>
    <w:p>
      <w:pPr>
        <w:pStyle w:val="Heading1"/>
        <w:keepNext/>
        <w:pageBreakBefore w:val="0"/>
      </w:pPr>
      <w:r>
        <w:t>3 Governance and responsibilities</w:t>
      </w:r>
    </w:p>
    <w:p>
      <w:pPr>
        <w:pStyle w:val="Heading2"/>
        <w:keepNext/>
      </w:pPr>
      <w:r>
        <w:t>3.1 Support levels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2232"/>
        <w:gridCol w:w="4392"/>
        <w:gridCol w:w="2448"/>
      </w:tblGrid>
      <w:tr>
        <w:trPr>
          <w:tblHeader w:val="true"/>
          <w:cantSplit/>
        </w:trPr>
        <w:tc>
          <w:tcPr>
            <w:tcW w:type="dxa" w:w="1224"/>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Level</w:t>
            </w:r>
          </w:p>
        </w:tc>
        <w:tc>
          <w:tcPr>
            <w:tcW w:type="dxa" w:w="223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Primary owner</w:t>
            </w:r>
          </w:p>
        </w:tc>
        <w:tc>
          <w:tcPr>
            <w:tcW w:type="dxa" w:w="439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Work handled</w:t>
            </w:r>
          </w:p>
        </w:tc>
        <w:tc>
          <w:tcPr>
            <w:tcW w:type="dxa" w:w="244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Escalation boundary</w:t>
            </w:r>
          </w:p>
        </w:tc>
      </w:tr>
      <w:tr>
        <w:trPr>
          <w:cantSplit/>
        </w:trPr>
        <w:tc>
          <w:tcPr>
            <w:tcW w:type="dxa" w:w="1224"/>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color w:val="000000"/>
                <w:sz w:val="17"/>
              </w:rPr>
              <w:t>L1</w:t>
            </w:r>
          </w:p>
        </w:tc>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Customer Support</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Approved questions, navigation, known issues, basic checks and case ownership</w:t>
            </w:r>
          </w:p>
        </w:tc>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Stop after one approved test fails or a higher risk condition appears</w:t>
            </w:r>
          </w:p>
        </w:tc>
      </w:tr>
      <w:tr>
        <w:trPr>
          <w:cantSplit/>
        </w:trPr>
        <w:tc>
          <w:tcPr>
            <w:tcW w:type="dxa" w:w="1224"/>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color w:val="000000"/>
                <w:sz w:val="17"/>
              </w:rPr>
              <w:t>L2</w:t>
            </w:r>
          </w:p>
        </w:tc>
        <w:tc>
          <w:tcPr>
            <w:tcW w:type="dxa" w:w="223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Digital and product SMEs</w:t>
            </w:r>
          </w:p>
        </w:tc>
        <w:tc>
          <w:tcPr>
            <w:tcW w:type="dxa" w:w="43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Reproduction, configuration, knowledge decisions, trend review and vendor case preparation</w:t>
            </w:r>
          </w:p>
        </w:tc>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Escalate confirmed integration, production or data delivery issues</w:t>
            </w:r>
          </w:p>
        </w:tc>
      </w:tr>
      <w:tr>
        <w:trPr>
          <w:cantSplit/>
        </w:trPr>
        <w:tc>
          <w:tcPr>
            <w:tcW w:type="dxa" w:w="1224"/>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color w:val="000000"/>
                <w:sz w:val="17"/>
              </w:rPr>
              <w:t>L3</w:t>
            </w:r>
          </w:p>
        </w:tc>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Technology and vendor</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Integration defects, production incidents, root cause, recovery and permanent correction</w:t>
            </w:r>
          </w:p>
        </w:tc>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Engage specialists when harm, privacy or regulatory issues appear</w:t>
            </w:r>
          </w:p>
        </w:tc>
      </w:tr>
      <w:tr>
        <w:trPr>
          <w:cantSplit/>
        </w:trPr>
        <w:tc>
          <w:tcPr>
            <w:tcW w:type="dxa" w:w="1224"/>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color w:val="000000"/>
                <w:sz w:val="17"/>
              </w:rPr>
              <w:t>Specialist</w:t>
            </w:r>
          </w:p>
        </w:tc>
        <w:tc>
          <w:tcPr>
            <w:tcW w:type="dxa" w:w="223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Risk Compliance Fraud Privacy</w:t>
            </w:r>
          </w:p>
        </w:tc>
        <w:tc>
          <w:tcPr>
            <w:tcW w:type="dxa" w:w="43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Complaints, customer harm, privacy requests, identity theft and regulatory review</w:t>
            </w:r>
          </w:p>
        </w:tc>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Specialist authority overrides ordinary troubleshooting</w:t>
            </w:r>
          </w:p>
        </w:tc>
      </w:tr>
    </w:tbl>
    <w:p>
      <w:pPr>
        <w:spacing w:after="20"/>
      </w:pPr>
    </w:p>
    <w:p>
      <w:pPr>
        <w:pStyle w:val="Heading2"/>
        <w:keepNext/>
      </w:pPr>
      <w:r>
        <w:t>3.2 Responsibility matrix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36"/>
        <w:gridCol w:w="1080"/>
        <w:gridCol w:w="1080"/>
        <w:gridCol w:w="1080"/>
        <w:gridCol w:w="2520"/>
      </w:tblGrid>
      <w:tr>
        <w:trPr>
          <w:tblHeader w:val="true"/>
          <w:cantSplit/>
        </w:trPr>
        <w:tc>
          <w:tcPr>
            <w:tcW w:type="dxa" w:w="453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Activity</w:t>
            </w:r>
          </w:p>
        </w:tc>
        <w:tc>
          <w:tcPr>
            <w:tcW w:type="dxa" w:w="1080"/>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L1</w:t>
            </w:r>
          </w:p>
        </w:tc>
        <w:tc>
          <w:tcPr>
            <w:tcW w:type="dxa" w:w="1080"/>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L2</w:t>
            </w:r>
          </w:p>
        </w:tc>
        <w:tc>
          <w:tcPr>
            <w:tcW w:type="dxa" w:w="1080"/>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L3</w:t>
            </w:r>
          </w:p>
        </w:tc>
        <w:tc>
          <w:tcPr>
            <w:tcW w:type="dxa" w:w="2520"/>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Specialist</w:t>
            </w:r>
          </w:p>
        </w:tc>
      </w:tr>
      <w:tr>
        <w:trPr>
          <w:cantSplit/>
        </w:trPr>
        <w:tc>
          <w:tcPr>
            <w:tcW w:type="dxa" w:w="45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Answer approved questions</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R A</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I</w:t>
            </w:r>
          </w:p>
        </w:tc>
        <w:tc>
          <w:tcPr>
            <w:tcW w:type="dxa" w:w="252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I</w:t>
            </w:r>
          </w:p>
        </w:tc>
      </w:tr>
      <w:tr>
        <w:trPr>
          <w:cantSplit/>
        </w:trPr>
        <w:tc>
          <w:tcPr>
            <w:tcW w:type="dxa" w:w="45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Reproduce a display issue</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R</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A</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252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I</w:t>
            </w:r>
          </w:p>
        </w:tc>
      </w:tr>
      <w:tr>
        <w:trPr>
          <w:cantSplit/>
        </w:trPr>
        <w:tc>
          <w:tcPr>
            <w:tcW w:type="dxa" w:w="45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Manage a widespread incident</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I</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R</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A</w:t>
            </w:r>
          </w:p>
        </w:tc>
        <w:tc>
          <w:tcPr>
            <w:tcW w:type="dxa" w:w="252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r>
      <w:tr>
        <w:trPr>
          <w:cantSplit/>
        </w:trPr>
        <w:tc>
          <w:tcPr>
            <w:tcW w:type="dxa" w:w="45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Route inaccurate report information</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R</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I</w:t>
            </w:r>
          </w:p>
        </w:tc>
        <w:tc>
          <w:tcPr>
            <w:tcW w:type="dxa" w:w="252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A</w:t>
            </w:r>
          </w:p>
        </w:tc>
      </w:tr>
      <w:tr>
        <w:trPr>
          <w:cantSplit/>
        </w:trPr>
        <w:tc>
          <w:tcPr>
            <w:tcW w:type="dxa" w:w="45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Investigate complaint or potential harm</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R</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I</w:t>
            </w:r>
          </w:p>
        </w:tc>
        <w:tc>
          <w:tcPr>
            <w:tcW w:type="dxa" w:w="252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A</w:t>
            </w:r>
          </w:p>
        </w:tc>
      </w:tr>
      <w:tr>
        <w:trPr>
          <w:cantSplit/>
        </w:trPr>
        <w:tc>
          <w:tcPr>
            <w:tcW w:type="dxa" w:w="45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Submit and track a vendor case</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I</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R A</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252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I</w:t>
            </w:r>
          </w:p>
        </w:tc>
      </w:tr>
      <w:tr>
        <w:trPr>
          <w:cantSplit/>
        </w:trPr>
        <w:tc>
          <w:tcPr>
            <w:tcW w:type="dxa" w:w="45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Approve customer incident communication</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R</w:t>
            </w:r>
          </w:p>
        </w:tc>
        <w:tc>
          <w:tcPr>
            <w:tcW w:type="dxa" w:w="108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2520"/>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A</w:t>
            </w:r>
          </w:p>
        </w:tc>
      </w:tr>
      <w:tr>
        <w:trPr>
          <w:cantSplit/>
        </w:trPr>
        <w:tc>
          <w:tcPr>
            <w:tcW w:type="dxa" w:w="45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Approve BAU transition</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R</w:t>
            </w:r>
          </w:p>
        </w:tc>
        <w:tc>
          <w:tcPr>
            <w:tcW w:type="dxa" w:w="108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C</w:t>
            </w:r>
          </w:p>
        </w:tc>
        <w:tc>
          <w:tcPr>
            <w:tcW w:type="dxa" w:w="2520"/>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A</w:t>
            </w:r>
          </w:p>
        </w:tc>
      </w:tr>
    </w:tbl>
    <w:p>
      <w:pPr>
        <w:spacing w:after="20"/>
      </w:pPr>
    </w:p>
    <w:p>
      <w:pPr>
        <w:keepNext w:val="0"/>
        <w:spacing w:before="60" w:after="140" w:line="254" w:lineRule="auto"/>
      </w:pPr>
      <w:r>
        <w:rPr>
          <w:rFonts w:ascii="Arial" w:hAnsi="Arial" w:eastAsia="Arial"/>
          <w:b/>
          <w:color w:val="526778"/>
          <w:sz w:val="21"/>
        </w:rPr>
        <w:t xml:space="preserve">Matrix key  </w:t>
      </w:r>
      <w:r>
        <w:rPr>
          <w:rFonts w:ascii="Arial" w:hAnsi="Arial" w:eastAsia="Arial"/>
          <w:color w:val="000000"/>
          <w:sz w:val="21"/>
        </w:rPr>
        <w:t>R performs the work. A is accountable for the outcome. C is consulted. I is informed.</w:t>
      </w:r>
    </w:p>
    <w:p>
      <w:pPr>
        <w:pStyle w:val="Heading2"/>
        <w:keepNext/>
      </w:pPr>
      <w:r>
        <w:t>3.3 Decision rights</w:t>
      </w:r>
    </w:p>
    <w:p>
      <w:pPr>
        <w:pStyle w:val="ListBullet"/>
        <w:keepNext w:val="0"/>
        <w:spacing w:before="0" w:after="40" w:line="252" w:lineRule="auto"/>
      </w:pPr>
      <w:r>
        <w:rPr>
          <w:rFonts w:ascii="Arial" w:hAnsi="Arial" w:eastAsia="Arial"/>
          <w:color w:val="000000"/>
          <w:sz w:val="21"/>
        </w:rPr>
        <w:t>The launch owner makes the go or no go recommendation after required control owners provide evidence.</w:t>
      </w:r>
    </w:p>
    <w:p>
      <w:pPr>
        <w:pStyle w:val="ListBullet"/>
        <w:keepNext w:val="0"/>
        <w:spacing w:before="0" w:after="40" w:line="252" w:lineRule="auto"/>
      </w:pPr>
      <w:r>
        <w:rPr>
          <w:rFonts w:ascii="Arial" w:hAnsi="Arial" w:eastAsia="Arial"/>
          <w:color w:val="000000"/>
          <w:sz w:val="21"/>
        </w:rPr>
        <w:t>The incident commander assigns incident priority, operating cadence and recovery verification under the institution’s incident policy.</w:t>
      </w:r>
    </w:p>
    <w:p>
      <w:pPr>
        <w:pStyle w:val="ListBullet"/>
        <w:keepNext w:val="0"/>
        <w:spacing w:before="0" w:after="40" w:line="252" w:lineRule="auto"/>
      </w:pPr>
      <w:r>
        <w:rPr>
          <w:rFonts w:ascii="Arial" w:hAnsi="Arial" w:eastAsia="Arial"/>
          <w:color w:val="000000"/>
          <w:sz w:val="21"/>
        </w:rPr>
        <w:t>Risk or Compliance determines complaint, customer harm and regulatory handling requirements.</w:t>
      </w:r>
    </w:p>
    <w:p>
      <w:pPr>
        <w:pStyle w:val="ListBullet"/>
        <w:keepNext w:val="0"/>
        <w:spacing w:before="0" w:after="40" w:line="252" w:lineRule="auto"/>
      </w:pPr>
      <w:r>
        <w:rPr>
          <w:rFonts w:ascii="Arial" w:hAnsi="Arial" w:eastAsia="Arial"/>
          <w:color w:val="000000"/>
          <w:sz w:val="21"/>
        </w:rPr>
        <w:t>The BAU governance group approves transition, extension of hypercare or a limited stabilization workstream.</w:t>
      </w:r>
    </w:p>
    <w:p>
      <w:pPr>
        <w:spacing w:after="0"/>
      </w:pPr>
      <w:r>
        <w:br w:type="page"/>
      </w:r>
    </w:p>
    <w:p>
      <w:pPr>
        <w:pStyle w:val="Heading1"/>
        <w:keepNext/>
        <w:pageBreakBefore w:val="0"/>
      </w:pPr>
      <w:r>
        <w:t>4 Support channels and controlled knowledge</w:t>
      </w:r>
    </w:p>
    <w:p>
      <w:pPr>
        <w:pStyle w:val="Heading2"/>
        <w:keepNext/>
      </w:pPr>
      <w:r>
        <w:t>4.1 Systems of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3456"/>
        <w:gridCol w:w="1944"/>
        <w:gridCol w:w="2520"/>
      </w:tblGrid>
      <w:tr>
        <w:trPr>
          <w:tblHeader w:val="true"/>
          <w:cantSplit/>
        </w:trPr>
        <w:tc>
          <w:tcPr>
            <w:tcW w:type="dxa" w:w="237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System</w:t>
            </w:r>
          </w:p>
        </w:tc>
        <w:tc>
          <w:tcPr>
            <w:tcW w:type="dxa" w:w="345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Purpose</w:t>
            </w:r>
          </w:p>
        </w:tc>
        <w:tc>
          <w:tcPr>
            <w:tcW w:type="dxa" w:w="194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Control owner</w:t>
            </w:r>
          </w:p>
        </w:tc>
        <w:tc>
          <w:tcPr>
            <w:tcW w:type="dxa" w:w="252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Required rule</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Customer case system</w:t>
            </w:r>
          </w:p>
        </w:tc>
        <w:tc>
          <w:tcPr>
            <w:tcW w:type="dxa" w:w="345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Customer contact, actions, ownership and outcome</w:t>
            </w:r>
          </w:p>
        </w:tc>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Customer Support</w:t>
            </w:r>
          </w:p>
        </w:tc>
        <w:tc>
          <w:tcPr>
            <w:tcW w:type="dxa" w:w="25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Customer case details remain here</w:t>
            </w:r>
          </w:p>
        </w:tc>
      </w:tr>
      <w:tr>
        <w:trPr>
          <w:cantSplit/>
        </w:trPr>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SharePoint operations site</w:t>
            </w:r>
          </w:p>
        </w:tc>
        <w:tc>
          <w:tcPr>
            <w:tcW w:type="dxa" w:w="345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Procedures, scripts, known issues, contacts and launch reporting</w:t>
            </w:r>
          </w:p>
        </w:tc>
        <w:tc>
          <w:tcPr>
            <w:tcW w:type="dxa" w:w="19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Runbook owner</w:t>
            </w:r>
          </w:p>
        </w:tc>
        <w:tc>
          <w:tcPr>
            <w:tcW w:type="dxa" w:w="252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Every item shows owner and effective date</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Incident platform</w:t>
            </w:r>
          </w:p>
        </w:tc>
        <w:tc>
          <w:tcPr>
            <w:tcW w:type="dxa" w:w="345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P1 and P2 command, timeline, communication and recovery evidence</w:t>
            </w:r>
          </w:p>
        </w:tc>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Technology</w:t>
            </w:r>
          </w:p>
        </w:tc>
        <w:tc>
          <w:tcPr>
            <w:tcW w:type="dxa" w:w="25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Incident ID links back to affected cases</w:t>
            </w:r>
          </w:p>
        </w:tc>
      </w:tr>
      <w:tr>
        <w:trPr>
          <w:cantSplit/>
        </w:trPr>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SavvyMoney Partner Hub</w:t>
            </w:r>
          </w:p>
        </w:tc>
        <w:tc>
          <w:tcPr>
            <w:tcW w:type="dxa" w:w="345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Partner cases, resources and case tracking</w:t>
            </w:r>
          </w:p>
        </w:tc>
        <w:tc>
          <w:tcPr>
            <w:tcW w:type="dxa" w:w="19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Digital or vendor manager</w:t>
            </w:r>
          </w:p>
        </w:tc>
        <w:tc>
          <w:tcPr>
            <w:tcW w:type="dxa" w:w="252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Vendor case number appears in the internal record</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Management dashboard</w:t>
            </w:r>
          </w:p>
        </w:tc>
        <w:tc>
          <w:tcPr>
            <w:tcW w:type="dxa" w:w="345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Volumes, trends, backlog, complaints and service health</w:t>
            </w:r>
          </w:p>
        </w:tc>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Operations analytics</w:t>
            </w:r>
          </w:p>
        </w:tc>
        <w:tc>
          <w:tcPr>
            <w:tcW w:type="dxa" w:w="25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Data definitions remain stable during hypercare</w:t>
            </w:r>
          </w:p>
        </w:tc>
      </w:tr>
    </w:tbl>
    <w:p>
      <w:pPr>
        <w:spacing w:after="20"/>
      </w:pPr>
    </w:p>
    <w:p>
      <w:pPr>
        <w:pStyle w:val="Heading2"/>
        <w:keepNext/>
      </w:pPr>
      <w:r>
        <w:t>4.2 SharePoint structure</w:t>
      </w:r>
    </w:p>
    <w:p>
      <w:pPr>
        <w:pStyle w:val="ListBullet"/>
        <w:keepNext w:val="0"/>
        <w:spacing w:before="0" w:after="40" w:line="252" w:lineRule="auto"/>
      </w:pPr>
      <w:r>
        <w:rPr>
          <w:rFonts w:ascii="Arial" w:hAnsi="Arial" w:eastAsia="Arial"/>
          <w:color w:val="000000"/>
          <w:sz w:val="21"/>
        </w:rPr>
        <w:t>Support home with current status, launch notices and the named operational owner</w:t>
      </w:r>
    </w:p>
    <w:p>
      <w:pPr>
        <w:pStyle w:val="ListBullet"/>
        <w:keepNext w:val="0"/>
        <w:spacing w:before="0" w:after="40" w:line="252" w:lineRule="auto"/>
      </w:pPr>
      <w:r>
        <w:rPr>
          <w:rFonts w:ascii="Arial" w:hAnsi="Arial" w:eastAsia="Arial"/>
          <w:color w:val="000000"/>
          <w:sz w:val="21"/>
        </w:rPr>
        <w:t>Knowledge base with approved questions, scripts and troubleshooting procedures</w:t>
      </w:r>
    </w:p>
    <w:p>
      <w:pPr>
        <w:pStyle w:val="ListBullet"/>
        <w:keepNext w:val="0"/>
        <w:spacing w:before="0" w:after="40" w:line="252" w:lineRule="auto"/>
      </w:pPr>
      <w:r>
        <w:rPr>
          <w:rFonts w:ascii="Arial" w:hAnsi="Arial" w:eastAsia="Arial"/>
          <w:color w:val="000000"/>
          <w:sz w:val="21"/>
        </w:rPr>
        <w:t>Known issue register with impact, workaround, owner, status and next update</w:t>
      </w:r>
    </w:p>
    <w:p>
      <w:pPr>
        <w:pStyle w:val="ListBullet"/>
        <w:keepNext w:val="0"/>
        <w:spacing w:before="0" w:after="40" w:line="252" w:lineRule="auto"/>
      </w:pPr>
      <w:r>
        <w:rPr>
          <w:rFonts w:ascii="Arial" w:hAnsi="Arial" w:eastAsia="Arial"/>
          <w:color w:val="000000"/>
          <w:sz w:val="21"/>
        </w:rPr>
        <w:t>Contacts and on call coverage with internal and vendor escalation routes</w:t>
      </w:r>
    </w:p>
    <w:p>
      <w:pPr>
        <w:pStyle w:val="ListBullet"/>
        <w:keepNext w:val="0"/>
        <w:spacing w:before="0" w:after="40" w:line="252" w:lineRule="auto"/>
      </w:pPr>
      <w:r>
        <w:rPr>
          <w:rFonts w:ascii="Arial" w:hAnsi="Arial" w:eastAsia="Arial"/>
          <w:color w:val="000000"/>
          <w:sz w:val="21"/>
        </w:rPr>
        <w:t>Reporting library with daily dashboards, decision logs and BAU evidence</w:t>
      </w:r>
    </w:p>
    <w:p>
      <w:pPr>
        <w:pStyle w:val="ListBullet"/>
        <w:keepNext w:val="0"/>
        <w:spacing w:before="0" w:after="40" w:line="252" w:lineRule="auto"/>
      </w:pPr>
      <w:r>
        <w:rPr>
          <w:rFonts w:ascii="Arial" w:hAnsi="Arial" w:eastAsia="Arial"/>
          <w:color w:val="000000"/>
          <w:sz w:val="21"/>
        </w:rPr>
        <w:t>Archive with retired content and superseded procedures</w:t>
      </w:r>
    </w:p>
    <w:p>
      <w:pPr>
        <w:pStyle w:val="Heading2"/>
        <w:keepNext/>
      </w:pPr>
      <w:r>
        <w:t>4.3 Knowledge change control</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The content owner drafts the change and identifies affected customer scenarios.</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Digital or the product SME verifies technical accuracy in the configured environment.</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Risk or Compliance reviews customer statements that affect complaints, disclosures, privacy, fraud or lending expectations.</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The owner publishes the approved version with an effective date and removes or archives the superseded content.</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Customer Support receives the change before the next supported shift and acknowledges material script changes.</w:t>
      </w:r>
    </w:p>
    <w:p>
      <w:pPr>
        <w:spacing w:after="0"/>
      </w:pPr>
      <w:r>
        <w:br w:type="page"/>
      </w:r>
    </w:p>
    <w:p>
      <w:pPr>
        <w:pStyle w:val="Heading1"/>
        <w:keepNext/>
        <w:pageBreakBefore w:val="0"/>
      </w:pPr>
      <w:r>
        <w:t>5 Launch readiness and go or no go</w:t>
      </w:r>
    </w:p>
    <w:p>
      <w:pPr>
        <w:keepNext w:val="0"/>
        <w:spacing w:before="0" w:after="120" w:line="259" w:lineRule="auto"/>
      </w:pPr>
      <w:r>
        <w:rPr>
          <w:rFonts w:ascii="Arial" w:hAnsi="Arial" w:eastAsia="Arial"/>
          <w:i w:val="0"/>
          <w:color w:val="000000"/>
          <w:sz w:val="21"/>
        </w:rPr>
        <w:t>The launch owner should not recommend go when a critical control lacks an owner, evidence or tested escalation path. The checklist below becomes part of the launch approval record.</w:t>
      </w:r>
    </w:p>
    <w:p>
      <w:pPr>
        <w:keepNext/>
        <w:spacing w:before="100" w:after="60" w:line="240" w:lineRule="auto"/>
      </w:pPr>
      <w:r>
        <w:rPr>
          <w:rFonts w:ascii="Arial" w:hAnsi="Arial" w:eastAsia="Arial"/>
          <w:b/>
          <w:color w:val="526778"/>
          <w:sz w:val="20"/>
        </w:rPr>
        <w:t>Launch readiness checklist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1368"/>
        <w:gridCol w:w="5040"/>
        <w:gridCol w:w="1872"/>
        <w:gridCol w:w="1224"/>
      </w:tblGrid>
      <w:tr>
        <w:trPr>
          <w:tblHeader w:val="true"/>
          <w:cantSplit/>
        </w:trPr>
        <w:tc>
          <w:tcPr>
            <w:tcW w:type="dxa" w:w="792"/>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Status</w:t>
            </w:r>
          </w:p>
        </w:tc>
        <w:tc>
          <w:tcPr>
            <w:tcW w:type="dxa" w:w="136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Area</w:t>
            </w:r>
          </w:p>
        </w:tc>
        <w:tc>
          <w:tcPr>
            <w:tcW w:type="dxa" w:w="504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Requirement</w:t>
            </w:r>
          </w:p>
        </w:tc>
        <w:tc>
          <w:tcPr>
            <w:tcW w:type="dxa" w:w="187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Evidence</w:t>
            </w:r>
          </w:p>
        </w:tc>
        <w:tc>
          <w:tcPr>
            <w:tcW w:type="dxa" w:w="122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Owner</w:t>
            </w:r>
          </w:p>
        </w:tc>
      </w:tr>
      <w:tr>
        <w:trPr>
          <w:cantSplit/>
        </w:trPr>
        <w:tc>
          <w:tcPr>
            <w:tcW w:type="dxa" w:w="792"/>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People</w:t>
            </w:r>
          </w:p>
        </w:tc>
        <w:tc>
          <w:tcPr>
            <w:tcW w:type="dxa" w:w="50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Support coverage by shift and channel</w:t>
            </w:r>
          </w:p>
        </w:tc>
        <w:tc>
          <w:tcPr>
            <w:tcW w:type="dxa" w:w="187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People</w:t>
            </w:r>
          </w:p>
        </w:tc>
        <w:tc>
          <w:tcPr>
            <w:tcW w:type="dxa" w:w="50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Named L2 SME incident commander and specialist contacts</w:t>
            </w:r>
          </w:p>
        </w:tc>
        <w:tc>
          <w:tcPr>
            <w:tcW w:type="dxa" w:w="187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People</w:t>
            </w:r>
          </w:p>
        </w:tc>
        <w:tc>
          <w:tcPr>
            <w:tcW w:type="dxa" w:w="50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Assigned SavvyMoney Partner Manager and backup</w:t>
            </w:r>
          </w:p>
        </w:tc>
        <w:tc>
          <w:tcPr>
            <w:tcW w:type="dxa" w:w="187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Process</w:t>
            </w:r>
          </w:p>
        </w:tc>
        <w:tc>
          <w:tcPr>
            <w:tcW w:type="dxa" w:w="50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Routing matrix priority definitions and complaint paths approved</w:t>
            </w:r>
          </w:p>
        </w:tc>
        <w:tc>
          <w:tcPr>
            <w:tcW w:type="dxa" w:w="187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Process</w:t>
            </w:r>
          </w:p>
        </w:tc>
        <w:tc>
          <w:tcPr>
            <w:tcW w:type="dxa" w:w="50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Customer scripts and knowledge reviewed for quality</w:t>
            </w:r>
          </w:p>
        </w:tc>
        <w:tc>
          <w:tcPr>
            <w:tcW w:type="dxa" w:w="187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Technology</w:t>
            </w:r>
          </w:p>
        </w:tc>
        <w:tc>
          <w:tcPr>
            <w:tcW w:type="dxa" w:w="50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Production access and critical customer journeys tested</w:t>
            </w:r>
          </w:p>
        </w:tc>
        <w:tc>
          <w:tcPr>
            <w:tcW w:type="dxa" w:w="187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Technology</w:t>
            </w:r>
          </w:p>
        </w:tc>
        <w:tc>
          <w:tcPr>
            <w:tcW w:type="dxa" w:w="50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Ticket fields queues monitoring and vendor case access tested</w:t>
            </w:r>
          </w:p>
        </w:tc>
        <w:tc>
          <w:tcPr>
            <w:tcW w:type="dxa" w:w="187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Controls</w:t>
            </w:r>
          </w:p>
        </w:tc>
        <w:tc>
          <w:tcPr>
            <w:tcW w:type="dxa" w:w="50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Known issues and workarounds documented</w:t>
            </w:r>
          </w:p>
        </w:tc>
        <w:tc>
          <w:tcPr>
            <w:tcW w:type="dxa" w:w="187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Controls</w:t>
            </w:r>
          </w:p>
        </w:tc>
        <w:tc>
          <w:tcPr>
            <w:tcW w:type="dxa" w:w="50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Launch communication and incident messages approved</w:t>
            </w:r>
          </w:p>
        </w:tc>
        <w:tc>
          <w:tcPr>
            <w:tcW w:type="dxa" w:w="187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792"/>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w:t>
            </w:r>
          </w:p>
        </w:tc>
        <w:tc>
          <w:tcPr>
            <w:tcW w:type="dxa" w:w="136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Controls</w:t>
            </w:r>
          </w:p>
        </w:tc>
        <w:tc>
          <w:tcPr>
            <w:tcW w:type="dxa" w:w="50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Dashboard owner thresholds and go or no go authority confirmed</w:t>
            </w:r>
          </w:p>
        </w:tc>
        <w:tc>
          <w:tcPr>
            <w:tcW w:type="dxa" w:w="187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22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bl>
    <w:p>
      <w:pPr>
        <w:spacing w:after="20"/>
      </w:pPr>
    </w:p>
    <w:p>
      <w:pPr>
        <w:pStyle w:val="Heading2"/>
        <w:keepNext/>
      </w:pPr>
      <w:r>
        <w:t>5.1 Go or no go meeting</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Review unresolved readiness items and determine whether each affects customer access, customer protection, regulatory compliance or recovery capability.</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Review production health, monitoring, known issues and the results of end to end customer journey tests.</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Confirm staffing, incident authority, vendor routes and the first two business days of meeting coverage.</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Record go, conditional go or no go with the accountable owner, decision basis and any accepted residual risk.</w:t>
      </w:r>
    </w:p>
    <w:p>
      <w:pPr>
        <w:spacing w:after="0"/>
      </w:pPr>
      <w:r>
        <w:br w:type="page"/>
      </w:r>
    </w:p>
    <w:p>
      <w:pPr>
        <w:pStyle w:val="Heading1"/>
        <w:keepNext/>
        <w:pageBreakBefore w:val="0"/>
      </w:pPr>
      <w:r>
        <w:t>6 Day 0 through Day 30 hypercare</w:t>
      </w:r>
    </w:p>
    <w:p>
      <w:pPr>
        <w:keepNext w:val="0"/>
        <w:spacing w:before="0" w:after="120" w:line="259" w:lineRule="auto"/>
      </w:pPr>
      <w:r>
        <w:rPr>
          <w:rFonts w:ascii="Arial" w:hAnsi="Arial" w:eastAsia="Arial"/>
          <w:i w:val="0"/>
          <w:color w:val="000000"/>
          <w:sz w:val="21"/>
        </w:rPr>
        <w:t>Hypercare increases operational attention while the team learns actual customer demand, verifies controls and resolves launch defects. The governance group can increase or reduce the cadence when evidence supports the change.</w:t>
      </w:r>
    </w:p>
    <w:p>
      <w:pPr>
        <w:keepNext/>
        <w:spacing w:before="100" w:after="60" w:line="240" w:lineRule="auto"/>
      </w:pPr>
      <w:r>
        <w:rPr>
          <w:rFonts w:ascii="Arial" w:hAnsi="Arial" w:eastAsia="Arial"/>
          <w:b/>
          <w:color w:val="526778"/>
          <w:sz w:val="20"/>
        </w:rPr>
        <w:t>Hypercare phases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2376"/>
        <w:gridCol w:w="3888"/>
        <w:gridCol w:w="2448"/>
      </w:tblGrid>
      <w:tr>
        <w:trPr>
          <w:tblHeader w:val="true"/>
          <w:cantSplit/>
        </w:trPr>
        <w:tc>
          <w:tcPr>
            <w:tcW w:type="dxa" w:w="158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Period</w:t>
            </w:r>
          </w:p>
        </w:tc>
        <w:tc>
          <w:tcPr>
            <w:tcW w:type="dxa" w:w="237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Operating focus</w:t>
            </w:r>
          </w:p>
        </w:tc>
        <w:tc>
          <w:tcPr>
            <w:tcW w:type="dxa" w:w="388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Minimum cadence</w:t>
            </w:r>
          </w:p>
        </w:tc>
        <w:tc>
          <w:tcPr>
            <w:tcW w:type="dxa" w:w="244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Decision evidence</w:t>
            </w:r>
          </w:p>
        </w:tc>
      </w:tr>
      <w:tr>
        <w:trPr>
          <w:cantSplit/>
        </w:trPr>
        <w:tc>
          <w:tcPr>
            <w:tcW w:type="dxa" w:w="158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Day 0 through 2</w:t>
            </w:r>
          </w:p>
        </w:tc>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Command coverage and customer protection</w:t>
            </w:r>
          </w:p>
        </w:tc>
        <w:tc>
          <w:tcPr>
            <w:tcW w:type="dxa" w:w="38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Two operations huddles daily. Live P1 and P2 bridge. Rapid script updates.</w:t>
            </w:r>
          </w:p>
        </w:tc>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Access success, material harm, incident volume and message consistency</w:t>
            </w:r>
          </w:p>
        </w:tc>
      </w:tr>
      <w:tr>
        <w:trPr>
          <w:cantSplit/>
        </w:trPr>
        <w:tc>
          <w:tcPr>
            <w:tcW w:type="dxa" w:w="158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Day 3 through 7</w:t>
            </w:r>
          </w:p>
        </w:tc>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Pattern control</w:t>
            </w:r>
          </w:p>
        </w:tc>
        <w:tc>
          <w:tcPr>
            <w:tcW w:type="dxa" w:w="38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Daily huddle. Daily vendor case review. Top contact analysis.</w:t>
            </w:r>
          </w:p>
        </w:tc>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Repeat defects, escalation rate, knowledge gaps and backlog</w:t>
            </w:r>
          </w:p>
        </w:tc>
      </w:tr>
      <w:tr>
        <w:trPr>
          <w:cantSplit/>
        </w:trPr>
        <w:tc>
          <w:tcPr>
            <w:tcW w:type="dxa" w:w="158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Day 8 through 14</w:t>
            </w:r>
          </w:p>
        </w:tc>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Stability proof</w:t>
            </w:r>
          </w:p>
        </w:tc>
        <w:tc>
          <w:tcPr>
            <w:tcW w:type="dxa" w:w="38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Weekday dashboard review. Vendor sync twice weekly. Aging review.</w:t>
            </w:r>
          </w:p>
        </w:tc>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Volume trend, L1 containment, recurrence and open risk</w:t>
            </w:r>
          </w:p>
        </w:tc>
      </w:tr>
      <w:tr>
        <w:trPr>
          <w:cantSplit/>
        </w:trPr>
        <w:tc>
          <w:tcPr>
            <w:tcW w:type="dxa" w:w="158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Day 15 through 30</w:t>
            </w:r>
          </w:p>
        </w:tc>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BAU readiness</w:t>
            </w:r>
          </w:p>
        </w:tc>
        <w:tc>
          <w:tcPr>
            <w:tcW w:type="dxa" w:w="38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Three reviews weekly. Weekly governance decision. Handoff rehearsal.</w:t>
            </w:r>
          </w:p>
        </w:tc>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Exit gates, BAU ownership, residual risk and reporting continuity</w:t>
            </w:r>
          </w:p>
        </w:tc>
      </w:tr>
    </w:tbl>
    <w:p>
      <w:pPr>
        <w:spacing w:after="20"/>
      </w:pPr>
    </w:p>
    <w:p>
      <w:pPr>
        <w:pStyle w:val="Heading2"/>
        <w:keepNext/>
      </w:pPr>
      <w:r>
        <w:t>6.1 Daily operating schedule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384"/>
        <w:gridCol w:w="2664"/>
        <w:gridCol w:w="2304"/>
      </w:tblGrid>
      <w:tr>
        <w:trPr>
          <w:tblHeader w:val="true"/>
          <w:cantSplit/>
        </w:trPr>
        <w:tc>
          <w:tcPr>
            <w:tcW w:type="dxa" w:w="194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Time</w:t>
            </w:r>
          </w:p>
        </w:tc>
        <w:tc>
          <w:tcPr>
            <w:tcW w:type="dxa" w:w="338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Activity</w:t>
            </w:r>
          </w:p>
        </w:tc>
        <w:tc>
          <w:tcPr>
            <w:tcW w:type="dxa" w:w="266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Owner</w:t>
            </w:r>
          </w:p>
        </w:tc>
        <w:tc>
          <w:tcPr>
            <w:tcW w:type="dxa" w:w="230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Output</w:t>
            </w:r>
          </w:p>
        </w:tc>
      </w:tr>
      <w:tr>
        <w:trPr>
          <w:cantSplit/>
        </w:trPr>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Start of supported day</w:t>
            </w:r>
          </w:p>
        </w:tc>
        <w:tc>
          <w:tcPr>
            <w:tcW w:type="dxa" w:w="338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Health check and known issue review</w:t>
            </w:r>
          </w:p>
        </w:tc>
        <w:tc>
          <w:tcPr>
            <w:tcW w:type="dxa" w:w="266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Digital and Technology</w:t>
            </w:r>
          </w:p>
        </w:tc>
        <w:tc>
          <w:tcPr>
            <w:tcW w:type="dxa" w:w="230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Current status and any frontline instruction</w:t>
            </w:r>
          </w:p>
        </w:tc>
      </w:tr>
      <w:tr>
        <w:trPr>
          <w:cantSplit/>
        </w:trPr>
        <w:tc>
          <w:tcPr>
            <w:tcW w:type="dxa" w:w="19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Morning</w:t>
            </w:r>
          </w:p>
        </w:tc>
        <w:tc>
          <w:tcPr>
            <w:tcW w:type="dxa" w:w="338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Operations huddle</w:t>
            </w:r>
          </w:p>
        </w:tc>
        <w:tc>
          <w:tcPr>
            <w:tcW w:type="dxa" w:w="266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Launch operations lead</w:t>
            </w:r>
          </w:p>
        </w:tc>
        <w:tc>
          <w:tcPr>
            <w:tcW w:type="dxa" w:w="230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Priorities, decisions, owners and due times</w:t>
            </w:r>
          </w:p>
        </w:tc>
      </w:tr>
      <w:tr>
        <w:trPr>
          <w:cantSplit/>
        </w:trPr>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During day</w:t>
            </w:r>
          </w:p>
        </w:tc>
        <w:tc>
          <w:tcPr>
            <w:tcW w:type="dxa" w:w="338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P1 and P2 command and customer updates</w:t>
            </w:r>
          </w:p>
        </w:tc>
        <w:tc>
          <w:tcPr>
            <w:tcW w:type="dxa" w:w="266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Incident commander and case owners</w:t>
            </w:r>
          </w:p>
        </w:tc>
        <w:tc>
          <w:tcPr>
            <w:tcW w:type="dxa" w:w="230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Incident timeline and customer communication</w:t>
            </w:r>
          </w:p>
        </w:tc>
      </w:tr>
      <w:tr>
        <w:trPr>
          <w:cantSplit/>
        </w:trPr>
        <w:tc>
          <w:tcPr>
            <w:tcW w:type="dxa" w:w="19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Midday during Days 0 through 7</w:t>
            </w:r>
          </w:p>
        </w:tc>
        <w:tc>
          <w:tcPr>
            <w:tcW w:type="dxa" w:w="338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Vendor case review</w:t>
            </w:r>
          </w:p>
        </w:tc>
        <w:tc>
          <w:tcPr>
            <w:tcW w:type="dxa" w:w="266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Digital or vendor manager</w:t>
            </w:r>
          </w:p>
        </w:tc>
        <w:tc>
          <w:tcPr>
            <w:tcW w:type="dxa" w:w="230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Vendor owner, next update and blocker</w:t>
            </w:r>
          </w:p>
        </w:tc>
      </w:tr>
      <w:tr>
        <w:trPr>
          <w:cantSplit/>
        </w:trPr>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End of supported day</w:t>
            </w:r>
          </w:p>
        </w:tc>
        <w:tc>
          <w:tcPr>
            <w:tcW w:type="dxa" w:w="338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Dashboard and shift handoff</w:t>
            </w:r>
          </w:p>
        </w:tc>
        <w:tc>
          <w:tcPr>
            <w:tcW w:type="dxa" w:w="266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Operations analytics and support lead</w:t>
            </w:r>
          </w:p>
        </w:tc>
        <w:tc>
          <w:tcPr>
            <w:tcW w:type="dxa" w:w="230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Daily results and open action handoff</w:t>
            </w:r>
          </w:p>
        </w:tc>
      </w:tr>
    </w:tbl>
    <w:p>
      <w:pPr>
        <w:spacing w:after="20"/>
      </w:pPr>
    </w:p>
    <w:p>
      <w:pPr>
        <w:pStyle w:val="Heading2"/>
        <w:keepNext/>
      </w:pPr>
      <w:r>
        <w:t>6.2 Shift handoff</w:t>
      </w:r>
    </w:p>
    <w:p>
      <w:pPr>
        <w:pStyle w:val="ListBullet"/>
        <w:keepNext w:val="0"/>
        <w:spacing w:before="0" w:after="40" w:line="252" w:lineRule="auto"/>
      </w:pPr>
      <w:r>
        <w:rPr>
          <w:rFonts w:ascii="Arial" w:hAnsi="Arial" w:eastAsia="Arial"/>
          <w:color w:val="000000"/>
          <w:sz w:val="21"/>
        </w:rPr>
        <w:t>Open P1 and P2 incidents and the next required update</w:t>
      </w:r>
    </w:p>
    <w:p>
      <w:pPr>
        <w:pStyle w:val="ListBullet"/>
        <w:keepNext w:val="0"/>
        <w:spacing w:before="0" w:after="40" w:line="252" w:lineRule="auto"/>
      </w:pPr>
      <w:r>
        <w:rPr>
          <w:rFonts w:ascii="Arial" w:hAnsi="Arial" w:eastAsia="Arial"/>
          <w:color w:val="000000"/>
          <w:sz w:val="21"/>
        </w:rPr>
        <w:t>Aged P3 cases and customer callbacks due during the receiving shift</w:t>
      </w:r>
    </w:p>
    <w:p>
      <w:pPr>
        <w:pStyle w:val="ListBullet"/>
        <w:keepNext w:val="0"/>
        <w:spacing w:before="0" w:after="40" w:line="252" w:lineRule="auto"/>
      </w:pPr>
      <w:r>
        <w:rPr>
          <w:rFonts w:ascii="Arial" w:hAnsi="Arial" w:eastAsia="Arial"/>
          <w:color w:val="000000"/>
          <w:sz w:val="21"/>
        </w:rPr>
        <w:t>Vendor case numbers, vendor owners, blockers and due times</w:t>
      </w:r>
    </w:p>
    <w:p>
      <w:pPr>
        <w:pStyle w:val="ListBullet"/>
        <w:keepNext w:val="0"/>
        <w:spacing w:before="0" w:after="40" w:line="252" w:lineRule="auto"/>
      </w:pPr>
      <w:r>
        <w:rPr>
          <w:rFonts w:ascii="Arial" w:hAnsi="Arial" w:eastAsia="Arial"/>
          <w:color w:val="000000"/>
          <w:sz w:val="21"/>
        </w:rPr>
        <w:t>Known issue or script changes made during the outgoing shift</w:t>
      </w:r>
    </w:p>
    <w:p>
      <w:pPr>
        <w:pStyle w:val="ListBullet"/>
        <w:keepNext w:val="0"/>
        <w:spacing w:before="0" w:after="40" w:line="252" w:lineRule="auto"/>
      </w:pPr>
      <w:r>
        <w:rPr>
          <w:rFonts w:ascii="Arial" w:hAnsi="Arial" w:eastAsia="Arial"/>
          <w:color w:val="000000"/>
          <w:sz w:val="21"/>
        </w:rPr>
        <w:t>New complaint, fraud or privacy referrals awaiting disposition</w:t>
      </w:r>
    </w:p>
    <w:p>
      <w:pPr>
        <w:pStyle w:val="ListBullet"/>
        <w:keepNext w:val="0"/>
        <w:spacing w:before="0" w:after="40" w:line="252" w:lineRule="auto"/>
      </w:pPr>
      <w:r>
        <w:rPr>
          <w:rFonts w:ascii="Arial" w:hAnsi="Arial" w:eastAsia="Arial"/>
          <w:color w:val="000000"/>
          <w:sz w:val="21"/>
        </w:rPr>
        <w:t>Named owner for the next dashboard and governance update</w:t>
      </w:r>
    </w:p>
    <w:p>
      <w:pPr>
        <w:spacing w:after="0"/>
      </w:pPr>
      <w:r>
        <w:br w:type="page"/>
      </w:r>
    </w:p>
    <w:p>
      <w:pPr>
        <w:pStyle w:val="Heading1"/>
        <w:keepNext/>
        <w:pageBreakBefore w:val="0"/>
      </w:pPr>
      <w:r>
        <w:t>7 Case intake and data handling</w:t>
      </w:r>
    </w:p>
    <w:p>
      <w:pPr>
        <w:pStyle w:val="Heading2"/>
        <w:keepNext/>
      </w:pPr>
      <w:r>
        <w:t>7.1 Required case fields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Field</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Requirement</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Case identifiers</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Internal case ID and only the customer identifier permitted by policy</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Contact context</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Channel, timestamp, customer wording and requested outcome</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Environment</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Online or mobile, operating system, app or browser version and network context when relevant</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Product context</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Enrollment status, affected feature and displayed last updated date</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Diagnostics</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Approved steps attempted once, result and whether the issue can be reproduced</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Impact</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Customer effect, breadth, priority, complaint flag and any fraud or privacy indicator</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Ownership</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Current owner, receiving owner when transferred, next update and customer expectation</w:t>
            </w:r>
          </w:p>
        </w:tc>
      </w:tr>
    </w:tbl>
    <w:p>
      <w:pPr>
        <w:spacing w:after="20"/>
      </w:pPr>
    </w:p>
    <w:p>
      <w:pPr>
        <w:pStyle w:val="Heading2"/>
        <w:keepNext/>
      </w:pPr>
      <w:r>
        <w:t>7.2 Sensitive data boundary</w:t>
      </w:r>
    </w:p>
    <w:p>
      <w:pPr>
        <w:pStyle w:val="ListBullet"/>
        <w:keepNext w:val="0"/>
        <w:spacing w:before="0" w:after="40" w:line="252" w:lineRule="auto"/>
      </w:pPr>
      <w:r>
        <w:rPr>
          <w:rFonts w:ascii="Arial" w:hAnsi="Arial" w:eastAsia="Arial"/>
          <w:color w:val="000000"/>
          <w:sz w:val="21"/>
        </w:rPr>
        <w:t>Do not place a full Social Security number in case notes or ordinary email.</w:t>
      </w:r>
    </w:p>
    <w:p>
      <w:pPr>
        <w:pStyle w:val="ListBullet"/>
        <w:keepNext w:val="0"/>
        <w:spacing w:before="0" w:after="40" w:line="252" w:lineRule="auto"/>
      </w:pPr>
      <w:r>
        <w:rPr>
          <w:rFonts w:ascii="Arial" w:hAnsi="Arial" w:eastAsia="Arial"/>
          <w:color w:val="000000"/>
          <w:sz w:val="21"/>
        </w:rPr>
        <w:t>Do not request a full credit report through an unapproved channel.</w:t>
      </w:r>
    </w:p>
    <w:p>
      <w:pPr>
        <w:pStyle w:val="ListBullet"/>
        <w:keepNext w:val="0"/>
        <w:spacing w:before="0" w:after="40" w:line="252" w:lineRule="auto"/>
      </w:pPr>
      <w:r>
        <w:rPr>
          <w:rFonts w:ascii="Arial" w:hAnsi="Arial" w:eastAsia="Arial"/>
          <w:color w:val="000000"/>
          <w:sz w:val="21"/>
        </w:rPr>
        <w:t>Do not record answers used to authenticate with a credit bureau.</w:t>
      </w:r>
    </w:p>
    <w:p>
      <w:pPr>
        <w:pStyle w:val="ListBullet"/>
        <w:keepNext w:val="0"/>
        <w:spacing w:before="0" w:after="40" w:line="252" w:lineRule="auto"/>
      </w:pPr>
      <w:r>
        <w:rPr>
          <w:rFonts w:ascii="Arial" w:hAnsi="Arial" w:eastAsia="Arial"/>
          <w:color w:val="000000"/>
          <w:sz w:val="21"/>
        </w:rPr>
        <w:t>Redact screenshots to the minimum information needed to diagnose the issue.</w:t>
      </w:r>
    </w:p>
    <w:p>
      <w:pPr>
        <w:pStyle w:val="ListBullet"/>
        <w:keepNext w:val="0"/>
        <w:spacing w:before="0" w:after="40" w:line="252" w:lineRule="auto"/>
      </w:pPr>
      <w:r>
        <w:rPr>
          <w:rFonts w:ascii="Arial" w:hAnsi="Arial" w:eastAsia="Arial"/>
          <w:color w:val="000000"/>
          <w:sz w:val="21"/>
        </w:rPr>
        <w:t>Use approved secure transfer when diagnostic evidence must leave the institution.</w:t>
      </w:r>
    </w:p>
    <w:p>
      <w:pPr>
        <w:pStyle w:val="ListBullet"/>
        <w:keepNext w:val="0"/>
        <w:spacing w:before="0" w:after="40" w:line="252" w:lineRule="auto"/>
      </w:pPr>
      <w:r>
        <w:rPr>
          <w:rFonts w:ascii="Arial" w:hAnsi="Arial" w:eastAsia="Arial"/>
          <w:color w:val="000000"/>
          <w:sz w:val="21"/>
        </w:rPr>
        <w:t>Apply retention and access controls to complaint, fraud and privacy records.</w:t>
      </w:r>
    </w:p>
    <w:p>
      <w:pPr>
        <w:keepNext w:val="0"/>
        <w:spacing w:before="60" w:after="140" w:line="254" w:lineRule="auto"/>
      </w:pPr>
      <w:r>
        <w:rPr>
          <w:rFonts w:ascii="Arial" w:hAnsi="Arial" w:eastAsia="Arial"/>
          <w:b/>
          <w:color w:val="0A7C86"/>
          <w:sz w:val="21"/>
        </w:rPr>
        <w:t xml:space="preserve">Case quality standard  </w:t>
      </w:r>
      <w:r>
        <w:rPr>
          <w:rFonts w:ascii="Arial" w:hAnsi="Arial" w:eastAsia="Arial"/>
          <w:color w:val="000000"/>
          <w:sz w:val="21"/>
        </w:rPr>
        <w:t>Another analyst must be able to understand the issue, repeat the approved test and continue the customer conversation without asking for the same information again.</w:t>
      </w:r>
    </w:p>
    <w:p>
      <w:pPr>
        <w:pStyle w:val="Heading2"/>
        <w:keepNext/>
      </w:pPr>
      <w:r>
        <w:t>7.3 Case lifecycle</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Open one case and select the primary customer need.</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Classify priority from customer impact and risk rather than ticket count alone.</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Complete approved L1 actions once and record the result.</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Escalate with the complete case record and obtain acceptance from the receiving owner.</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Update the customer at the promised time even when the technical status has not changed.</w:t>
      </w:r>
    </w:p>
    <w:p>
      <w:pPr>
        <w:keepNext w:val="0"/>
        <w:spacing w:before="0" w:after="80" w:line="254" w:lineRule="auto"/>
        <w:ind w:left="317" w:hanging="317"/>
      </w:pPr>
      <w:r>
        <w:rPr>
          <w:rFonts w:ascii="Arial" w:hAnsi="Arial" w:eastAsia="Arial"/>
          <w:b/>
          <w:color w:val="0A7C86"/>
          <w:sz w:val="21"/>
        </w:rPr>
        <w:t xml:space="preserve">6. </w:t>
      </w:r>
      <w:r>
        <w:rPr>
          <w:rFonts w:ascii="Arial" w:hAnsi="Arial" w:eastAsia="Arial"/>
          <w:color w:val="000000"/>
          <w:sz w:val="21"/>
        </w:rPr>
        <w:t>Verify resolution with the customer or approved evidence, record the outcome and close related vendor or incident references.</w:t>
      </w:r>
    </w:p>
    <w:p>
      <w:pPr>
        <w:spacing w:after="0"/>
      </w:pPr>
      <w:r>
        <w:br w:type="page"/>
      </w:r>
    </w:p>
    <w:p>
      <w:pPr>
        <w:pStyle w:val="Heading1"/>
        <w:keepNext/>
        <w:pageBreakBefore w:val="0"/>
      </w:pPr>
      <w:r>
        <w:t>8 Priority classification and response</w:t>
      </w:r>
    </w:p>
    <w:p>
      <w:pPr>
        <w:keepNext w:val="0"/>
        <w:spacing w:before="0" w:after="120" w:line="259" w:lineRule="auto"/>
      </w:pPr>
      <w:r>
        <w:rPr>
          <w:rFonts w:ascii="Arial" w:hAnsi="Arial" w:eastAsia="Arial"/>
          <w:i w:val="0"/>
          <w:color w:val="000000"/>
          <w:sz w:val="21"/>
        </w:rPr>
        <w:t>The following targets are operating placeholders. The institution must approve them against its incident policy, staffing model and executed vendor agreement before 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3960"/>
        <w:gridCol w:w="1655"/>
        <w:gridCol w:w="1655"/>
        <w:gridCol w:w="1584"/>
      </w:tblGrid>
      <w:tr>
        <w:trPr>
          <w:tblHeader w:val="true"/>
          <w:cantSplit/>
        </w:trPr>
        <w:tc>
          <w:tcPr>
            <w:tcW w:type="dxa" w:w="144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Priority</w:t>
            </w:r>
          </w:p>
        </w:tc>
        <w:tc>
          <w:tcPr>
            <w:tcW w:type="dxa" w:w="396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Definition and example</w:t>
            </w:r>
          </w:p>
        </w:tc>
        <w:tc>
          <w:tcPr>
            <w:tcW w:type="dxa" w:w="1655"/>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Internal response</w:t>
            </w:r>
          </w:p>
        </w:tc>
        <w:tc>
          <w:tcPr>
            <w:tcW w:type="dxa" w:w="1655"/>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Update</w:t>
            </w:r>
          </w:p>
        </w:tc>
        <w:tc>
          <w:tcPr>
            <w:tcW w:type="dxa" w:w="158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Required escalation</w:t>
            </w:r>
          </w:p>
        </w:tc>
      </w:tr>
      <w:tr>
        <w:trPr>
          <w:cantSplit/>
        </w:trPr>
        <w:tc>
          <w:tcPr>
            <w:tcW w:type="dxa" w:w="14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6"/>
              </w:rPr>
              <w:t>P1 Critical</w:t>
            </w:r>
          </w:p>
        </w:tc>
        <w:tc>
          <w:tcPr>
            <w:tcW w:type="dxa" w:w="396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Widespread outage, security or privacy event, or credible material customer harm</w:t>
            </w:r>
          </w:p>
        </w:tc>
        <w:tc>
          <w:tcPr>
            <w:tcW w:type="dxa" w:w="1655"/>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Institution to approve</w:t>
            </w:r>
          </w:p>
        </w:tc>
        <w:tc>
          <w:tcPr>
            <w:tcW w:type="dxa" w:w="1655"/>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Institution to approve</w:t>
            </w:r>
          </w:p>
        </w:tc>
        <w:tc>
          <w:tcPr>
            <w:tcW w:type="dxa" w:w="158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Incident commander, executives, Risk and vendor</w:t>
            </w:r>
          </w:p>
        </w:tc>
      </w:tr>
      <w:tr>
        <w:trPr>
          <w:cantSplit/>
        </w:trPr>
        <w:tc>
          <w:tcPr>
            <w:tcW w:type="dxa" w:w="14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6"/>
              </w:rPr>
              <w:t>P2 High</w:t>
            </w:r>
          </w:p>
        </w:tc>
        <w:tc>
          <w:tcPr>
            <w:tcW w:type="dxa" w:w="396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Material degradation, multiple customers blocked or a serious complaint trend</w:t>
            </w:r>
          </w:p>
        </w:tc>
        <w:tc>
          <w:tcPr>
            <w:tcW w:type="dxa" w:w="1655"/>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Institution to approve</w:t>
            </w:r>
          </w:p>
        </w:tc>
        <w:tc>
          <w:tcPr>
            <w:tcW w:type="dxa" w:w="1655"/>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Institution to approve</w:t>
            </w:r>
          </w:p>
        </w:tc>
        <w:tc>
          <w:tcPr>
            <w:tcW w:type="dxa" w:w="158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Digital lead, Technology and Risk as needed</w:t>
            </w:r>
          </w:p>
        </w:tc>
      </w:tr>
      <w:tr>
        <w:trPr>
          <w:cantSplit/>
        </w:trPr>
        <w:tc>
          <w:tcPr>
            <w:tcW w:type="dxa" w:w="14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6"/>
              </w:rPr>
              <w:t>P3 Standard</w:t>
            </w:r>
          </w:p>
        </w:tc>
        <w:tc>
          <w:tcPr>
            <w:tcW w:type="dxa" w:w="396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Single customer failure with no broad impact and no immediate harm</w:t>
            </w:r>
          </w:p>
        </w:tc>
        <w:tc>
          <w:tcPr>
            <w:tcW w:type="dxa" w:w="1655"/>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Institution to approve</w:t>
            </w:r>
          </w:p>
        </w:tc>
        <w:tc>
          <w:tcPr>
            <w:tcW w:type="dxa" w:w="1655"/>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Daily unless policy requires more</w:t>
            </w:r>
          </w:p>
        </w:tc>
        <w:tc>
          <w:tcPr>
            <w:tcW w:type="dxa" w:w="158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L2, then vendor when reproducible</w:t>
            </w:r>
          </w:p>
        </w:tc>
      </w:tr>
      <w:tr>
        <w:trPr>
          <w:cantSplit/>
        </w:trPr>
        <w:tc>
          <w:tcPr>
            <w:tcW w:type="dxa" w:w="14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6"/>
              </w:rPr>
              <w:t>P4 Request</w:t>
            </w:r>
          </w:p>
        </w:tc>
        <w:tc>
          <w:tcPr>
            <w:tcW w:type="dxa" w:w="396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How to question, content correction or enhancement request</w:t>
            </w:r>
          </w:p>
        </w:tc>
        <w:tc>
          <w:tcPr>
            <w:tcW w:type="dxa" w:w="1655"/>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Institution to approve</w:t>
            </w:r>
          </w:p>
        </w:tc>
        <w:tc>
          <w:tcPr>
            <w:tcW w:type="dxa" w:w="1655"/>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At agreed milestones</w:t>
            </w:r>
          </w:p>
        </w:tc>
        <w:tc>
          <w:tcPr>
            <w:tcW w:type="dxa" w:w="158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6"/>
              </w:rPr>
              <w:t>Knowledge owner or product backlog</w:t>
            </w:r>
          </w:p>
        </w:tc>
      </w:tr>
    </w:tbl>
    <w:p>
      <w:pPr>
        <w:spacing w:after="20"/>
      </w:pPr>
    </w:p>
    <w:p>
      <w:pPr>
        <w:pStyle w:val="Heading2"/>
        <w:keepNext/>
      </w:pPr>
      <w:r>
        <w:t>8.1 Classification rules</w:t>
      </w:r>
    </w:p>
    <w:p>
      <w:pPr>
        <w:pStyle w:val="ListBullet"/>
        <w:keepNext w:val="0"/>
        <w:spacing w:before="0" w:after="40" w:line="252" w:lineRule="auto"/>
      </w:pPr>
      <w:r>
        <w:rPr>
          <w:rFonts w:ascii="Arial" w:hAnsi="Arial" w:eastAsia="Arial"/>
          <w:color w:val="000000"/>
          <w:sz w:val="21"/>
        </w:rPr>
        <w:t>Customer harm, privacy, security and regulatory implications can raise priority even when only one customer has reported the issue.</w:t>
      </w:r>
    </w:p>
    <w:p>
      <w:pPr>
        <w:pStyle w:val="ListBullet"/>
        <w:keepNext w:val="0"/>
        <w:spacing w:before="0" w:after="40" w:line="252" w:lineRule="auto"/>
      </w:pPr>
      <w:r>
        <w:rPr>
          <w:rFonts w:ascii="Arial" w:hAnsi="Arial" w:eastAsia="Arial"/>
          <w:color w:val="000000"/>
          <w:sz w:val="21"/>
        </w:rPr>
        <w:t>Multiple similar P3 cases can indicate a P2 service condition and require trend escalation.</w:t>
      </w:r>
    </w:p>
    <w:p>
      <w:pPr>
        <w:pStyle w:val="ListBullet"/>
        <w:keepNext w:val="0"/>
        <w:spacing w:before="0" w:after="40" w:line="252" w:lineRule="auto"/>
      </w:pPr>
      <w:r>
        <w:rPr>
          <w:rFonts w:ascii="Arial" w:hAnsi="Arial" w:eastAsia="Arial"/>
          <w:color w:val="000000"/>
          <w:sz w:val="21"/>
        </w:rPr>
        <w:t>A known workaround does not automatically reduce priority when customers remain unable to complete a critical journey.</w:t>
      </w:r>
    </w:p>
    <w:p>
      <w:pPr>
        <w:pStyle w:val="ListBullet"/>
        <w:keepNext w:val="0"/>
        <w:spacing w:before="0" w:after="40" w:line="252" w:lineRule="auto"/>
      </w:pPr>
      <w:r>
        <w:rPr>
          <w:rFonts w:ascii="Arial" w:hAnsi="Arial" w:eastAsia="Arial"/>
          <w:color w:val="000000"/>
          <w:sz w:val="21"/>
        </w:rPr>
        <w:t>The incident commander can raise or lower incident priority after documenting the evidence and notifying required stakeholders.</w:t>
      </w:r>
    </w:p>
    <w:p>
      <w:pPr>
        <w:keepNext w:val="0"/>
        <w:spacing w:before="60" w:after="140" w:line="254" w:lineRule="auto"/>
      </w:pPr>
      <w:r>
        <w:rPr>
          <w:rFonts w:ascii="Arial" w:hAnsi="Arial" w:eastAsia="Arial"/>
          <w:b/>
          <w:color w:val="A61B1B"/>
          <w:sz w:val="21"/>
        </w:rPr>
        <w:t xml:space="preserve">Vendor service levels  </w:t>
      </w:r>
      <w:r>
        <w:rPr>
          <w:rFonts w:ascii="Arial" w:hAnsi="Arial" w:eastAsia="Arial"/>
          <w:color w:val="000000"/>
          <w:sz w:val="21"/>
        </w:rPr>
        <w:t>A public SavvyMoney support document from 2022 lists sample severity contacts and response targets. Treat that document as background only. The executed agreement and current partner instructions control.</w:t>
      </w:r>
    </w:p>
    <w:p>
      <w:pPr>
        <w:spacing w:after="0"/>
      </w:pPr>
      <w:r>
        <w:br w:type="page"/>
      </w:r>
    </w:p>
    <w:p>
      <w:pPr>
        <w:pStyle w:val="Heading1"/>
        <w:keepNext/>
        <w:pageBreakBefore w:val="0"/>
      </w:pPr>
      <w:r>
        <w:t>9 Frontline triage workflow</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Authenticate the customer under normal digital banking procedures and open one case.</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Confirm the customer’s primary need and whether the issue blocks access or suggests harm.</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Check the current known issue notice before beginning individual troubleshooting.</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Select the access, product, credit data, or risk route below.</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Perform the approved first action and stop when an escalation condition appears.</w:t>
      </w:r>
    </w:p>
    <w:p>
      <w:pPr>
        <w:keepNext w:val="0"/>
        <w:spacing w:before="0" w:after="80" w:line="254" w:lineRule="auto"/>
        <w:ind w:left="317" w:hanging="317"/>
      </w:pPr>
      <w:r>
        <w:rPr>
          <w:rFonts w:ascii="Arial" w:hAnsi="Arial" w:eastAsia="Arial"/>
          <w:b/>
          <w:color w:val="0A7C86"/>
          <w:sz w:val="21"/>
        </w:rPr>
        <w:t xml:space="preserve">6. </w:t>
      </w:r>
      <w:r>
        <w:rPr>
          <w:rFonts w:ascii="Arial" w:hAnsi="Arial" w:eastAsia="Arial"/>
          <w:color w:val="000000"/>
          <w:sz w:val="21"/>
        </w:rPr>
        <w:t>Record the owner, next update time and exact customer expectation before ending the contact.</w:t>
      </w:r>
    </w:p>
    <w:p>
      <w:pPr>
        <w:keepNext/>
        <w:spacing w:before="100" w:after="60" w:line="240" w:lineRule="auto"/>
      </w:pPr>
      <w:r>
        <w:rPr>
          <w:rFonts w:ascii="Arial" w:hAnsi="Arial" w:eastAsia="Arial"/>
          <w:b/>
          <w:color w:val="526778"/>
          <w:sz w:val="20"/>
        </w:rPr>
        <w:t>Frontline routes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3528"/>
        <w:gridCol w:w="3240"/>
        <w:gridCol w:w="2088"/>
      </w:tblGrid>
      <w:tr>
        <w:trPr>
          <w:tblHeader w:val="true"/>
          <w:cantSplit/>
        </w:trPr>
        <w:tc>
          <w:tcPr>
            <w:tcW w:type="dxa" w:w="144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Route</w:t>
            </w:r>
          </w:p>
        </w:tc>
        <w:tc>
          <w:tcPr>
            <w:tcW w:type="dxa" w:w="352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Examples</w:t>
            </w:r>
          </w:p>
        </w:tc>
        <w:tc>
          <w:tcPr>
            <w:tcW w:type="dxa" w:w="324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First action</w:t>
            </w:r>
          </w:p>
        </w:tc>
        <w:tc>
          <w:tcPr>
            <w:tcW w:type="dxa" w:w="208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Destination</w:t>
            </w:r>
          </w:p>
        </w:tc>
      </w:tr>
      <w:tr>
        <w:trPr>
          <w:cantSplit/>
        </w:trPr>
        <w:tc>
          <w:tcPr>
            <w:tcW w:type="dxa" w:w="14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Access</w:t>
            </w:r>
          </w:p>
        </w:tc>
        <w:tc>
          <w:tcPr>
            <w:tcW w:type="dxa" w:w="352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Tile missing, enrollment failure, blank or slow page</w:t>
            </w:r>
          </w:p>
        </w:tc>
        <w:tc>
          <w:tcPr>
            <w:tcW w:type="dxa" w:w="32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Complete the approved check once</w:t>
            </w:r>
          </w:p>
        </w:tc>
        <w:tc>
          <w:tcPr>
            <w:tcW w:type="dxa" w:w="20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Digital or Technology</w:t>
            </w:r>
          </w:p>
        </w:tc>
      </w:tr>
      <w:tr>
        <w:trPr>
          <w:cantSplit/>
        </w:trPr>
        <w:tc>
          <w:tcPr>
            <w:tcW w:type="dxa" w:w="14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Product</w:t>
            </w:r>
          </w:p>
        </w:tc>
        <w:tc>
          <w:tcPr>
            <w:tcW w:type="dxa" w:w="352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Navigation, feature or general score question</w:t>
            </w:r>
          </w:p>
        </w:tc>
        <w:tc>
          <w:tcPr>
            <w:tcW w:type="dxa" w:w="32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Use the approved answer and record any knowledge gap</w:t>
            </w:r>
          </w:p>
        </w:tc>
        <w:tc>
          <w:tcPr>
            <w:tcW w:type="dxa" w:w="20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L1 or product SME</w:t>
            </w:r>
          </w:p>
        </w:tc>
      </w:tr>
      <w:tr>
        <w:trPr>
          <w:cantSplit/>
        </w:trPr>
        <w:tc>
          <w:tcPr>
            <w:tcW w:type="dxa" w:w="14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Credit data</w:t>
            </w:r>
          </w:p>
        </w:tc>
        <w:tc>
          <w:tcPr>
            <w:tcW w:type="dxa" w:w="352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Score difference, inaccurate account or unfamiliar inquiry</w:t>
            </w:r>
          </w:p>
        </w:tc>
        <w:tc>
          <w:tcPr>
            <w:tcW w:type="dxa" w:w="32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Explain the service boundary</w:t>
            </w:r>
          </w:p>
        </w:tc>
        <w:tc>
          <w:tcPr>
            <w:tcW w:type="dxa" w:w="20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TransUnion dispute path and Fraud when appropriate</w:t>
            </w:r>
          </w:p>
        </w:tc>
      </w:tr>
      <w:tr>
        <w:trPr>
          <w:cantSplit/>
        </w:trPr>
        <w:tc>
          <w:tcPr>
            <w:tcW w:type="dxa" w:w="14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Risk</w:t>
            </w:r>
          </w:p>
        </w:tc>
        <w:tc>
          <w:tcPr>
            <w:tcW w:type="dxa" w:w="352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Fraud, privacy concern, complaint or potential harm</w:t>
            </w:r>
          </w:p>
        </w:tc>
        <w:tc>
          <w:tcPr>
            <w:tcW w:type="dxa" w:w="32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Stop routine handling</w:t>
            </w:r>
          </w:p>
        </w:tc>
        <w:tc>
          <w:tcPr>
            <w:tcW w:type="dxa" w:w="20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Specialist immediately</w:t>
            </w:r>
          </w:p>
        </w:tc>
      </w:tr>
    </w:tbl>
    <w:p>
      <w:pPr>
        <w:spacing w:after="20"/>
      </w:pPr>
    </w:p>
    <w:p>
      <w:pPr>
        <w:pStyle w:val="Heading2"/>
        <w:keepNext/>
      </w:pPr>
      <w:r>
        <w:t>9.1 Immediate escalation conditions</w:t>
      </w:r>
    </w:p>
    <w:p>
      <w:pPr>
        <w:pStyle w:val="ListBullet"/>
        <w:keepNext w:val="0"/>
        <w:spacing w:before="0" w:after="40" w:line="252" w:lineRule="auto"/>
      </w:pPr>
      <w:r>
        <w:rPr>
          <w:rFonts w:ascii="Arial" w:hAnsi="Arial" w:eastAsia="Arial"/>
          <w:color w:val="000000"/>
          <w:sz w:val="21"/>
        </w:rPr>
        <w:t>The same failure affects multiple customers or both online and mobile channels.</w:t>
      </w:r>
    </w:p>
    <w:p>
      <w:pPr>
        <w:pStyle w:val="ListBullet"/>
        <w:keepNext w:val="0"/>
        <w:spacing w:before="0" w:after="40" w:line="252" w:lineRule="auto"/>
      </w:pPr>
      <w:r>
        <w:rPr>
          <w:rFonts w:ascii="Arial" w:hAnsi="Arial" w:eastAsia="Arial"/>
          <w:color w:val="000000"/>
          <w:sz w:val="21"/>
        </w:rPr>
        <w:t>The issue may expose personal information or indicates unauthorized activity.</w:t>
      </w:r>
    </w:p>
    <w:p>
      <w:pPr>
        <w:pStyle w:val="ListBullet"/>
        <w:keepNext w:val="0"/>
        <w:spacing w:before="0" w:after="40" w:line="252" w:lineRule="auto"/>
      </w:pPr>
      <w:r>
        <w:rPr>
          <w:rFonts w:ascii="Arial" w:hAnsi="Arial" w:eastAsia="Arial"/>
          <w:color w:val="000000"/>
          <w:sz w:val="21"/>
        </w:rPr>
        <w:t>The customer alleges discrimination, legal violation, financial harm or a formal complaint.</w:t>
      </w:r>
    </w:p>
    <w:p>
      <w:pPr>
        <w:pStyle w:val="ListBullet"/>
        <w:keepNext w:val="0"/>
        <w:spacing w:before="0" w:after="40" w:line="252" w:lineRule="auto"/>
      </w:pPr>
      <w:r>
        <w:rPr>
          <w:rFonts w:ascii="Arial" w:hAnsi="Arial" w:eastAsia="Arial"/>
          <w:color w:val="000000"/>
          <w:sz w:val="21"/>
        </w:rPr>
        <w:t>The approved troubleshooting step fails once and the case cannot be explained by a known issue.</w:t>
      </w:r>
    </w:p>
    <w:p>
      <w:pPr>
        <w:pStyle w:val="ListBullet"/>
        <w:keepNext w:val="0"/>
        <w:spacing w:before="0" w:after="40" w:line="252" w:lineRule="auto"/>
      </w:pPr>
      <w:r>
        <w:rPr>
          <w:rFonts w:ascii="Arial" w:hAnsi="Arial" w:eastAsia="Arial"/>
          <w:color w:val="000000"/>
          <w:sz w:val="21"/>
        </w:rPr>
        <w:t>The customer cannot access a dispute, fraud or privacy path needed to protect an account or credit file.</w:t>
      </w:r>
    </w:p>
    <w:p>
      <w:pPr>
        <w:spacing w:after="0"/>
      </w:pPr>
      <w:r>
        <w:br w:type="page"/>
      </w:r>
    </w:p>
    <w:p>
      <w:pPr>
        <w:pStyle w:val="Heading1"/>
        <w:keepNext/>
        <w:pageBreakBefore w:val="0"/>
      </w:pPr>
      <w:r>
        <w:t>10 Access enrollment and display procedures</w:t>
      </w:r>
    </w:p>
    <w:p>
      <w:pPr>
        <w:pStyle w:val="Heading2"/>
        <w:keepNext/>
      </w:pPr>
      <w:r>
        <w:t>10.1 Credit Sense tile missing</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Confirm the customer is using a supported digital banking channel and a current app or browser.</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Confirm the customer is within the configured eligibility population without disclosing internal eligibility rules beyond approved language.</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Check the known issue notice and determine whether other digital banking functions work.</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Ask the customer to sign out and complete one clean sign in if the approved procedure permits it.</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Escalate to Digital when the tile remains absent. Include channel, version, eligibility result and timestamp.</w:t>
      </w:r>
    </w:p>
    <w:p>
      <w:pPr>
        <w:pStyle w:val="Heading2"/>
        <w:keepNext/>
      </w:pPr>
      <w:r>
        <w:t>10.2 Enrollment will not complete</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Capture the exact customer visible message and the step where enrollment stops.</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Confirm whether the customer can use the rest of digital banking.</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Check for a current incident or known enrollment issue.</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Do not repeatedly submit enrollment or alter profile data unless the approved procedure requires it.</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Escalate a repeatable error to Digital. Digital prepares the vendor package when the integration or SavvyMoney experience appears responsible.</w:t>
      </w:r>
    </w:p>
    <w:p>
      <w:pPr>
        <w:pStyle w:val="Heading2"/>
        <w:keepNext/>
      </w:pPr>
      <w:r>
        <w:t>10.3 Blank or slow experience</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Record the page, timestamp, channel, device and customer visible behavior.</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Check service status and the number of similar contacts.</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Retry once under the approved procedure. Do not ask the customer to repeat clearing data or reinstalling the application.</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Open an incident when impact appears broad or the experience remains unavailable.</w:t>
      </w:r>
    </w:p>
    <w:p>
      <w:pPr>
        <w:pStyle w:val="Heading2"/>
        <w:keepNext/>
      </w:pPr>
      <w:r>
        <w:t>10.4 Score does not appear</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Confirm enrollment completed and capture the displayed status or message.</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Check the last updated field and whether the product presents an approved explanation for an unscoreable or limited credit file.</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Do not speculate about why a bureau did not return a score.</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Escalate to the product SME when no approved explanation applies.</w:t>
      </w:r>
    </w:p>
    <w:p>
      <w:pPr>
        <w:pStyle w:val="Heading2"/>
        <w:keepNext/>
      </w:pPr>
      <w:r>
        <w:t>10.5 Email or profile mismatch</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Confirm the customer updated contact information through the institution’s approved digital banking profile process.</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Check the documented synchronization window and notification settings.</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Escalate when the expected update does not appear. Do not ask the customer to provide sensitive profile data through ordinary email.</w:t>
      </w:r>
    </w:p>
    <w:p>
      <w:pPr>
        <w:spacing w:after="0"/>
      </w:pPr>
      <w:r>
        <w:br w:type="page"/>
      </w:r>
    </w:p>
    <w:p>
      <w:pPr>
        <w:pStyle w:val="Heading1"/>
        <w:keepNext/>
        <w:pageBreakBefore w:val="0"/>
      </w:pPr>
      <w:r>
        <w:t>11 Score report monitoring and alert procedures</w:t>
      </w:r>
    </w:p>
    <w:p>
      <w:pPr>
        <w:keepNext/>
        <w:spacing w:before="100" w:after="60" w:line="240" w:lineRule="auto"/>
      </w:pPr>
      <w:r>
        <w:rPr>
          <w:rFonts w:ascii="Arial" w:hAnsi="Arial" w:eastAsia="Arial"/>
          <w:b/>
          <w:color w:val="526778"/>
          <w:sz w:val="20"/>
        </w:rPr>
        <w:t>Approved responses and routes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4680"/>
        <w:gridCol w:w="273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Customer question</w:t>
            </w:r>
          </w:p>
        </w:tc>
        <w:tc>
          <w:tcPr>
            <w:tcW w:type="dxa" w:w="46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Approved response</w:t>
            </w:r>
          </w:p>
        </w:tc>
        <w:tc>
          <w:tcPr>
            <w:tcW w:type="dxa" w:w="273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Action and route</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My score differs from a lender score</w:t>
            </w:r>
          </w:p>
        </w:tc>
        <w:tc>
          <w:tcPr>
            <w:tcW w:type="dxa" w:w="46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Scores can differ because lenders may use another bureau, model or date.</w:t>
            </w:r>
          </w:p>
        </w:tc>
        <w:tc>
          <w:tcPr>
            <w:tcW w:type="dxa" w:w="27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Explain the difference. Do not predict a lending outcome.</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My score seems wrong</w:t>
            </w:r>
          </w:p>
        </w:tc>
        <w:tc>
          <w:tcPr>
            <w:tcW w:type="dxa" w:w="46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 score itself cannot be disputed. Inaccurate report information can be disputed.</w:t>
            </w:r>
          </w:p>
        </w:tc>
        <w:tc>
          <w:tcPr>
            <w:tcW w:type="dxa" w:w="27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Use the in product Dispute path or TransUnion Service Center.</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An account or inquiry is not mine</w:t>
            </w:r>
          </w:p>
        </w:tc>
        <w:tc>
          <w:tcPr>
            <w:tcW w:type="dxa" w:w="46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The institution takes potential fraud seriously.</w:t>
            </w:r>
          </w:p>
        </w:tc>
        <w:tc>
          <w:tcPr>
            <w:tcW w:type="dxa" w:w="27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Follow the fraud procedure and provide approved TransUnion resources.</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I received a monitoring alert</w:t>
            </w:r>
          </w:p>
        </w:tc>
        <w:tc>
          <w:tcPr>
            <w:tcW w:type="dxa" w:w="46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An alert reports a detected credit file change. It does not confirm fraud or a bank transaction.</w:t>
            </w:r>
          </w:p>
        </w:tc>
        <w:tc>
          <w:tcPr>
            <w:tcW w:type="dxa" w:w="27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Review the alert wording. Route unfamiliar activity to Fraud or TransUnion.</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Why has my score not changed</w:t>
            </w:r>
          </w:p>
        </w:tc>
        <w:tc>
          <w:tcPr>
            <w:tcW w:type="dxa" w:w="46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The score reflects data available at the time of refresh. Furnishers and bureaus update on their own timelines.</w:t>
            </w:r>
          </w:p>
        </w:tc>
        <w:tc>
          <w:tcPr>
            <w:tcW w:type="dxa" w:w="273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Check the last updated date. Do not promise a score change.</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How do I unenroll</w:t>
            </w:r>
          </w:p>
        </w:tc>
        <w:tc>
          <w:tcPr>
            <w:tcW w:type="dxa" w:w="46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Use the institution’s configured account or profile path.</w:t>
            </w:r>
          </w:p>
        </w:tc>
        <w:tc>
          <w:tcPr>
            <w:tcW w:type="dxa" w:w="273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Follow the approved local procedure and record the request.</w:t>
            </w:r>
          </w:p>
        </w:tc>
      </w:tr>
    </w:tbl>
    <w:p>
      <w:pPr>
        <w:spacing w:after="20"/>
      </w:pPr>
    </w:p>
    <w:p>
      <w:pPr>
        <w:pStyle w:val="Heading2"/>
        <w:keepNext/>
      </w:pPr>
      <w:r>
        <w:t>11.1 Credit report dispute</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Ask the customer whether the concern involves information on the report or only the numeric score.</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Explain that TransUnion can investigate inaccurate or incomplete report information, while a score itself is not disputable.</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Direct the customer to the Dispute option within the configured Credit Sense report or the TransUnion Service Center.</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Do not collect supporting dispute documents for TransUnion unless an approved secure process and business need exist.</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Retain and route any complaint about the institution, the service or customer harm under the complaint procedure.</w:t>
      </w:r>
    </w:p>
    <w:p>
      <w:pPr>
        <w:pStyle w:val="Heading2"/>
        <w:keepNext/>
      </w:pPr>
      <w:r>
        <w:t>11.2 Monitoring alert</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Read or ask for the alert category without requesting the full credit report.</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Explain that the alert identifies a credit file change and does not by itself establish fraud.</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If the customer recognizes the change, answer navigation questions and record the contact.</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If the customer does not recognize the change, follow the institution’s fraud procedure and provide the approved TransUnion freeze, fraud alert or dispute resources.</w:t>
      </w:r>
    </w:p>
    <w:p>
      <w:pPr>
        <w:pStyle w:val="Heading2"/>
        <w:keepNext/>
      </w:pPr>
      <w:r>
        <w:t>11.3 Score refresh</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Check the last updated date displayed in Credit Sense.</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Explain that manual refresh is available as often as once every 24 hours.</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Do not state an automatic cadence until the institution confirms the configured behavior.</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Escalate when the manual refresh function fails or the displayed data does not update as the approved procedure expects.</w:t>
      </w:r>
    </w:p>
    <w:p>
      <w:pPr>
        <w:spacing w:after="0"/>
      </w:pPr>
      <w:r>
        <w:br w:type="page"/>
      </w:r>
    </w:p>
    <w:p>
      <w:pPr>
        <w:pStyle w:val="Heading1"/>
        <w:keepNext/>
        <w:pageBreakBefore w:val="0"/>
      </w:pPr>
      <w:r>
        <w:t>12 Complaints privacy fraud and identity theft</w:t>
      </w:r>
    </w:p>
    <w:p>
      <w:pPr>
        <w:pStyle w:val="Heading2"/>
        <w:keepNext/>
      </w:pPr>
      <w:r>
        <w:t>12.1 Complaint handling</w:t>
      </w:r>
    </w:p>
    <w:p>
      <w:pPr>
        <w:keepNext w:val="0"/>
        <w:spacing w:before="0" w:after="120" w:line="259" w:lineRule="auto"/>
      </w:pPr>
      <w:r>
        <w:rPr>
          <w:rFonts w:ascii="Arial" w:hAnsi="Arial" w:eastAsia="Arial"/>
          <w:i w:val="0"/>
          <w:color w:val="000000"/>
          <w:sz w:val="21"/>
        </w:rPr>
        <w:t>A customer does not need to use the word complaint. Staff should apply the institution’s complaint definition when the customer expresses dissatisfaction about the product, support, outcome, treatment or potential harm.</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Record the customer’s concern and requested outcome in the customer’s words.</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Acknowledge the complaint within the institution’s required timeframe.</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Route legal, regulatory, discrimination or material harm allegations to Risk or Compliance immediately.</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Keep ownership of the customer response while technical or vendor work proceeds.</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Record the investigation, response, remediation and any corrective action.</w:t>
      </w:r>
    </w:p>
    <w:p>
      <w:pPr>
        <w:pStyle w:val="Heading2"/>
        <w:keepNext/>
      </w:pPr>
      <w:r>
        <w:t>12.2 Privacy questions and requests</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Use minimum necessary information and approved secure channels.</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Route access, correction, deletion or data use requests to the Privacy office under the institution’s procedure.</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Notify Privacy and Information Security immediately when information may have been exposed to an unauthorized party.</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Coordinate vendor involvement through the approved case and contract path.</w:t>
      </w:r>
    </w:p>
    <w:p>
      <w:pPr>
        <w:pStyle w:val="Heading2"/>
        <w:keepNext/>
      </w:pPr>
      <w:r>
        <w:t>12.3 Suspected fraud or identity theft</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Follow the institution’s fraud procedure and protect affected institution accounts first.</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Determine whether the concern involves an institution transaction, a credit report item or both.</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Provide approved TransUnion resources for a credit freeze, fraud alert or dispute when appropriate.</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Provide the approved IdentityTheft.gov resource when policy permits.</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Do not investigate or interpret bureau records for the customer.</w:t>
      </w:r>
    </w:p>
    <w:p>
      <w:pPr>
        <w:keepNext w:val="0"/>
        <w:spacing w:before="60" w:after="140" w:line="254" w:lineRule="auto"/>
      </w:pPr>
      <w:r>
        <w:rPr>
          <w:rFonts w:ascii="Arial" w:hAnsi="Arial" w:eastAsia="Arial"/>
          <w:b/>
          <w:color w:val="A61B1B"/>
          <w:sz w:val="21"/>
        </w:rPr>
        <w:t xml:space="preserve">Immediate specialist escalation  </w:t>
      </w:r>
      <w:r>
        <w:rPr>
          <w:rFonts w:ascii="Arial" w:hAnsi="Arial" w:eastAsia="Arial"/>
          <w:color w:val="000000"/>
          <w:sz w:val="21"/>
        </w:rPr>
        <w:t>Escalate credible unauthorized activity, exposed personal information, discriminatory treatment, threatened legal or regulatory action, or repeated complaints that suggest a systemic issue.</w:t>
      </w:r>
    </w:p>
    <w:p>
      <w:pPr>
        <w:spacing w:after="0"/>
      </w:pPr>
      <w:r>
        <w:br w:type="page"/>
      </w:r>
    </w:p>
    <w:p>
      <w:pPr>
        <w:pStyle w:val="Heading1"/>
        <w:keepNext/>
        <w:pageBreakBefore w:val="0"/>
      </w:pPr>
      <w:r>
        <w:t>13 Major incident management</w:t>
      </w:r>
    </w:p>
    <w:p>
      <w:pPr>
        <w:pStyle w:val="Heading2"/>
        <w:keepNext/>
      </w:pPr>
      <w:r>
        <w:t>13.1 Incident process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400"/>
        <w:gridCol w:w="2951"/>
      </w:tblGrid>
      <w:tr>
        <w:trPr>
          <w:tblHeader w:val="true"/>
          <w:cantSplit/>
        </w:trPr>
        <w:tc>
          <w:tcPr>
            <w:tcW w:type="dxa" w:w="194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Phase</w:t>
            </w:r>
          </w:p>
        </w:tc>
        <w:tc>
          <w:tcPr>
            <w:tcW w:type="dxa" w:w="540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Required action</w:t>
            </w:r>
          </w:p>
        </w:tc>
        <w:tc>
          <w:tcPr>
            <w:tcW w:type="dxa" w:w="2951"/>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Evidence</w:t>
            </w:r>
          </w:p>
        </w:tc>
      </w:tr>
      <w:tr>
        <w:trPr>
          <w:cantSplit/>
        </w:trPr>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Detect and classify</w:t>
            </w:r>
          </w:p>
        </w:tc>
        <w:tc>
          <w:tcPr>
            <w:tcW w:type="dxa" w:w="540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Validate scope, customer impact, affected channel and first known time</w:t>
            </w:r>
          </w:p>
        </w:tc>
        <w:tc>
          <w:tcPr>
            <w:tcW w:type="dxa" w:w="2951"/>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Incident ID, priority and impact statement</w:t>
            </w:r>
          </w:p>
        </w:tc>
      </w:tr>
      <w:tr>
        <w:trPr>
          <w:cantSplit/>
        </w:trPr>
        <w:tc>
          <w:tcPr>
            <w:tcW w:type="dxa" w:w="19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Mobilize</w:t>
            </w:r>
          </w:p>
        </w:tc>
        <w:tc>
          <w:tcPr>
            <w:tcW w:type="dxa" w:w="540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Assign incident commander, technical lead, communications lead and scribe</w:t>
            </w:r>
          </w:p>
        </w:tc>
        <w:tc>
          <w:tcPr>
            <w:tcW w:type="dxa" w:w="2951"/>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Role assignments and bridge details</w:t>
            </w:r>
          </w:p>
        </w:tc>
      </w:tr>
      <w:tr>
        <w:trPr>
          <w:cantSplit/>
        </w:trPr>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Protect customers</w:t>
            </w:r>
          </w:p>
        </w:tc>
        <w:tc>
          <w:tcPr>
            <w:tcW w:type="dxa" w:w="540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Apply approved containment and provide one current frontline message</w:t>
            </w:r>
          </w:p>
        </w:tc>
        <w:tc>
          <w:tcPr>
            <w:tcW w:type="dxa" w:w="2951"/>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Containment action and approved message</w:t>
            </w:r>
          </w:p>
        </w:tc>
      </w:tr>
      <w:tr>
        <w:trPr>
          <w:cantSplit/>
        </w:trPr>
        <w:tc>
          <w:tcPr>
            <w:tcW w:type="dxa" w:w="19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Recover and verify</w:t>
            </w:r>
          </w:p>
        </w:tc>
        <w:tc>
          <w:tcPr>
            <w:tcW w:type="dxa" w:w="540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Confirm service health and test critical customer journeys</w:t>
            </w:r>
          </w:p>
        </w:tc>
        <w:tc>
          <w:tcPr>
            <w:tcW w:type="dxa" w:w="2951"/>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Test results, monitoring and recovery time</w:t>
            </w:r>
          </w:p>
        </w:tc>
      </w:tr>
      <w:tr>
        <w:trPr>
          <w:cantSplit/>
        </w:trPr>
        <w:tc>
          <w:tcPr>
            <w:tcW w:type="dxa" w:w="19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Close and learn</w:t>
            </w:r>
          </w:p>
        </w:tc>
        <w:tc>
          <w:tcPr>
            <w:tcW w:type="dxa" w:w="540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Record root cause, corrective action, complaint impact and control changes</w:t>
            </w:r>
          </w:p>
        </w:tc>
        <w:tc>
          <w:tcPr>
            <w:tcW w:type="dxa" w:w="2951"/>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Post incident review and due dates</w:t>
            </w:r>
          </w:p>
        </w:tc>
      </w:tr>
    </w:tbl>
    <w:p>
      <w:pPr>
        <w:spacing w:after="20"/>
      </w:pPr>
    </w:p>
    <w:p>
      <w:pPr>
        <w:pStyle w:val="Heading2"/>
        <w:keepNext/>
      </w:pPr>
      <w:r>
        <w:t>13.2 Incident 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Role</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Responsibility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Incident commander</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Own priority, cadence, decisions, escalation and recovery declaration</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Technical lead</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Diagnose, contain, coordinate vendor work and verify technical recovery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Customer Support lead</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Maintain scripts, identify contact trends and manage customer callbacks</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Communications lead</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Prepare customer and stakeholder messages from confirmed facts</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Risk or Compliance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Assess customer harm, complaint, legal and regulatory implications</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Scribe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Maintain the timeline, decisions, actions, owners and due times</w:t>
            </w:r>
          </w:p>
        </w:tc>
      </w:tr>
    </w:tbl>
    <w:p>
      <w:pPr>
        <w:spacing w:after="20"/>
      </w:pPr>
    </w:p>
    <w:p>
      <w:pPr>
        <w:pStyle w:val="Heading2"/>
        <w:keepNext/>
      </w:pPr>
      <w:r>
        <w:t>13.3 Communication rules</w:t>
      </w:r>
    </w:p>
    <w:p>
      <w:pPr>
        <w:pStyle w:val="ListBullet"/>
        <w:keepNext w:val="0"/>
        <w:spacing w:before="0" w:after="40" w:line="252" w:lineRule="auto"/>
      </w:pPr>
      <w:r>
        <w:rPr>
          <w:rFonts w:ascii="Arial" w:hAnsi="Arial" w:eastAsia="Arial"/>
          <w:color w:val="000000"/>
          <w:sz w:val="21"/>
        </w:rPr>
        <w:t>State confirmed impact, customer action and the next update time.</w:t>
      </w:r>
    </w:p>
    <w:p>
      <w:pPr>
        <w:pStyle w:val="ListBullet"/>
        <w:keepNext w:val="0"/>
        <w:spacing w:before="0" w:after="40" w:line="252" w:lineRule="auto"/>
      </w:pPr>
      <w:r>
        <w:rPr>
          <w:rFonts w:ascii="Arial" w:hAnsi="Arial" w:eastAsia="Arial"/>
          <w:color w:val="000000"/>
          <w:sz w:val="21"/>
        </w:rPr>
        <w:t>Do not speculate about root cause or recovery time.</w:t>
      </w:r>
    </w:p>
    <w:p>
      <w:pPr>
        <w:pStyle w:val="ListBullet"/>
        <w:keepNext w:val="0"/>
        <w:spacing w:before="0" w:after="40" w:line="252" w:lineRule="auto"/>
      </w:pPr>
      <w:r>
        <w:rPr>
          <w:rFonts w:ascii="Arial" w:hAnsi="Arial" w:eastAsia="Arial"/>
          <w:color w:val="000000"/>
          <w:sz w:val="21"/>
        </w:rPr>
        <w:t>Update frontline staff before or at the same time as broad customer communication.</w:t>
      </w:r>
    </w:p>
    <w:p>
      <w:pPr>
        <w:pStyle w:val="ListBullet"/>
        <w:keepNext w:val="0"/>
        <w:spacing w:before="0" w:after="40" w:line="252" w:lineRule="auto"/>
      </w:pPr>
      <w:r>
        <w:rPr>
          <w:rFonts w:ascii="Arial" w:hAnsi="Arial" w:eastAsia="Arial"/>
          <w:color w:val="000000"/>
          <w:sz w:val="21"/>
        </w:rPr>
        <w:t>Declare recovery only after the institution verifies critical customer journeys and monitors for recurrence.</w:t>
      </w:r>
    </w:p>
    <w:p>
      <w:pPr>
        <w:pStyle w:val="Heading2"/>
        <w:keepNext/>
        <w:pageBreakBefore/>
      </w:pPr>
      <w:r>
        <w:t>13.4 Institution incident contacts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Field</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Institution entry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Incident bridge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Incident commander</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Customer message approver</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Executive escalation route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bl>
    <w:p>
      <w:pPr>
        <w:spacing w:after="20"/>
      </w:pPr>
    </w:p>
    <w:p>
      <w:pPr>
        <w:spacing w:after="0"/>
      </w:pPr>
      <w:r>
        <w:br w:type="page"/>
      </w:r>
    </w:p>
    <w:p>
      <w:pPr>
        <w:pStyle w:val="Heading1"/>
        <w:keepNext/>
        <w:pageBreakBefore w:val="0"/>
      </w:pPr>
      <w:r>
        <w:t>14 Vendor escalation and oversight</w:t>
      </w:r>
    </w:p>
    <w:p>
      <w:pPr>
        <w:pStyle w:val="Heading2"/>
        <w:keepNext/>
      </w:pPr>
      <w:r>
        <w:t>14.1 External support routes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5112"/>
        <w:gridCol w:w="2808"/>
      </w:tblGrid>
      <w:tr>
        <w:trPr>
          <w:tblHeader w:val="true"/>
          <w:cantSplit/>
        </w:trPr>
        <w:tc>
          <w:tcPr>
            <w:tcW w:type="dxa" w:w="237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Need</w:t>
            </w:r>
          </w:p>
        </w:tc>
        <w:tc>
          <w:tcPr>
            <w:tcW w:type="dxa" w:w="511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Recommended route</w:t>
            </w:r>
          </w:p>
        </w:tc>
        <w:tc>
          <w:tcPr>
            <w:tcW w:type="dxa" w:w="280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Required control</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Partner or product support</w:t>
            </w:r>
          </w:p>
        </w:tc>
        <w:tc>
          <w:tcPr>
            <w:tcW w:type="dxa" w:w="511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SavvyMoney Partner Hub case or partner-support@savvymoney.com</w:t>
            </w:r>
          </w:p>
        </w:tc>
        <w:tc>
          <w:tcPr>
            <w:tcW w:type="dxa" w:w="280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Confirm current access and mailbox before launch</w:t>
            </w:r>
          </w:p>
        </w:tc>
      </w:tr>
      <w:tr>
        <w:trPr>
          <w:cantSplit/>
        </w:trPr>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Technical production issue</w:t>
            </w:r>
          </w:p>
        </w:tc>
        <w:tc>
          <w:tcPr>
            <w:tcW w:type="dxa" w:w="511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Executed agreement and current partner instructions</w:t>
            </w:r>
          </w:p>
        </w:tc>
        <w:tc>
          <w:tcPr>
            <w:tcW w:type="dxa" w:w="280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Validate the technical mailbox, after hours path and service level</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End user assistance</w:t>
            </w:r>
          </w:p>
        </w:tc>
        <w:tc>
          <w:tcPr>
            <w:tcW w:type="dxa" w:w="511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 product Contact Us or support@savvymoney.com when local policy permits</w:t>
            </w:r>
          </w:p>
        </w:tc>
        <w:tc>
          <w:tcPr>
            <w:tcW w:type="dxa" w:w="280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Institution keeps its customer case open</w:t>
            </w:r>
          </w:p>
        </w:tc>
      </w:tr>
      <w:tr>
        <w:trPr>
          <w:cantSplit/>
        </w:trPr>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Credit report dispute</w:t>
            </w:r>
          </w:p>
        </w:tc>
        <w:tc>
          <w:tcPr>
            <w:tcW w:type="dxa" w:w="511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 product Dispute link or TransUnion Service Center</w:t>
            </w:r>
          </w:p>
        </w:tc>
        <w:tc>
          <w:tcPr>
            <w:tcW w:type="dxa" w:w="280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Customer submits directly to TransUnion</w:t>
            </w:r>
          </w:p>
        </w:tc>
      </w:tr>
    </w:tbl>
    <w:p>
      <w:pPr>
        <w:spacing w:after="20"/>
      </w:pPr>
    </w:p>
    <w:p>
      <w:pPr>
        <w:keepNext w:val="0"/>
        <w:spacing w:before="60" w:after="140" w:line="254" w:lineRule="auto"/>
      </w:pPr>
      <w:r>
        <w:rPr>
          <w:rFonts w:ascii="Arial" w:hAnsi="Arial" w:eastAsia="Arial"/>
          <w:b/>
          <w:color w:val="A61B1B"/>
          <w:sz w:val="21"/>
        </w:rPr>
        <w:t xml:space="preserve">Current route warning  </w:t>
      </w:r>
      <w:r>
        <w:rPr>
          <w:rFonts w:ascii="Arial" w:hAnsi="Arial" w:eastAsia="Arial"/>
          <w:color w:val="000000"/>
          <w:sz w:val="21"/>
        </w:rPr>
        <w:t>The technical-support@savvymoney.com mailbox appears in a public 2022 support document. Confirm that it remains valid and matches the executed agreement before placing it in frontline material.</w:t>
      </w:r>
    </w:p>
    <w:p>
      <w:pPr>
        <w:pStyle w:val="Heading2"/>
        <w:keepNext/>
      </w:pPr>
      <w:r>
        <w:t>14.2 Vendor escalation package</w:t>
      </w:r>
    </w:p>
    <w:p>
      <w:pPr>
        <w:pStyle w:val="ListBullet"/>
        <w:keepNext w:val="0"/>
        <w:spacing w:before="0" w:after="40" w:line="252" w:lineRule="auto"/>
      </w:pPr>
      <w:r>
        <w:rPr>
          <w:rFonts w:ascii="Arial" w:hAnsi="Arial" w:eastAsia="Arial"/>
          <w:color w:val="000000"/>
          <w:sz w:val="21"/>
        </w:rPr>
        <w:t>Institution name and internal case or incident ID</w:t>
      </w:r>
    </w:p>
    <w:p>
      <w:pPr>
        <w:pStyle w:val="ListBullet"/>
        <w:keepNext w:val="0"/>
        <w:spacing w:before="0" w:after="40" w:line="252" w:lineRule="auto"/>
      </w:pPr>
      <w:r>
        <w:rPr>
          <w:rFonts w:ascii="Arial" w:hAnsi="Arial" w:eastAsia="Arial"/>
          <w:color w:val="000000"/>
          <w:sz w:val="21"/>
        </w:rPr>
        <w:t>Priority, customer impact, affected channels and first known time</w:t>
      </w:r>
    </w:p>
    <w:p>
      <w:pPr>
        <w:pStyle w:val="ListBullet"/>
        <w:keepNext w:val="0"/>
        <w:spacing w:before="0" w:after="40" w:line="252" w:lineRule="auto"/>
      </w:pPr>
      <w:r>
        <w:rPr>
          <w:rFonts w:ascii="Arial" w:hAnsi="Arial" w:eastAsia="Arial"/>
          <w:color w:val="000000"/>
          <w:sz w:val="21"/>
        </w:rPr>
        <w:t>Volume, recurrence and whether the issue can be reproduced</w:t>
      </w:r>
    </w:p>
    <w:p>
      <w:pPr>
        <w:pStyle w:val="ListBullet"/>
        <w:keepNext w:val="0"/>
        <w:spacing w:before="0" w:after="40" w:line="252" w:lineRule="auto"/>
      </w:pPr>
      <w:r>
        <w:rPr>
          <w:rFonts w:ascii="Arial" w:hAnsi="Arial" w:eastAsia="Arial"/>
          <w:color w:val="000000"/>
          <w:sz w:val="21"/>
        </w:rPr>
        <w:t>Approved diagnostic steps, exact result and sanitized evidence</w:t>
      </w:r>
    </w:p>
    <w:p>
      <w:pPr>
        <w:pStyle w:val="ListBullet"/>
        <w:keepNext w:val="0"/>
        <w:spacing w:before="0" w:after="40" w:line="252" w:lineRule="auto"/>
      </w:pPr>
      <w:r>
        <w:rPr>
          <w:rFonts w:ascii="Arial" w:hAnsi="Arial" w:eastAsia="Arial"/>
          <w:color w:val="000000"/>
          <w:sz w:val="21"/>
        </w:rPr>
        <w:t>Workaround, internal owner and customer communication status</w:t>
      </w:r>
    </w:p>
    <w:p>
      <w:pPr>
        <w:pStyle w:val="ListBullet"/>
        <w:keepNext w:val="0"/>
        <w:spacing w:before="0" w:after="40" w:line="252" w:lineRule="auto"/>
      </w:pPr>
      <w:r>
        <w:rPr>
          <w:rFonts w:ascii="Arial" w:hAnsi="Arial" w:eastAsia="Arial"/>
          <w:color w:val="000000"/>
          <w:sz w:val="21"/>
        </w:rPr>
        <w:t>Requested vendor action and the next update needed</w:t>
      </w:r>
    </w:p>
    <w:p>
      <w:pPr>
        <w:pStyle w:val="Heading2"/>
        <w:keepNext/>
      </w:pPr>
      <w:r>
        <w:t>14.3 Vendor case control</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Record the vendor case number and vendor owner in the internal case or incident.</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Set the next vendor update and the internal customer update independently.</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Track workaround, resolution evidence and root cause as separate deliverables.</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Verify the institution’s critical journey after the vendor reports recovery.</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Review repeat vendor issues through third party oversight and management reporting.</w:t>
      </w:r>
    </w:p>
    <w:p>
      <w:pPr>
        <w:spacing w:after="0"/>
      </w:pPr>
      <w:r>
        <w:br w:type="page"/>
      </w:r>
    </w:p>
    <w:p>
      <w:pPr>
        <w:pStyle w:val="Heading1"/>
        <w:keepNext/>
        <w:pageBreakBefore w:val="0"/>
      </w:pPr>
      <w:r>
        <w:t>15 Customer communication standards</w:t>
      </w:r>
    </w:p>
    <w:p>
      <w:pPr>
        <w:pStyle w:val="Heading2"/>
        <w:keepNext/>
      </w:pPr>
      <w:r>
        <w:t>15.1 Communication requirements</w:t>
      </w:r>
    </w:p>
    <w:p>
      <w:pPr>
        <w:pStyle w:val="ListBullet"/>
        <w:keepNext w:val="0"/>
        <w:spacing w:before="0" w:after="40" w:line="252" w:lineRule="auto"/>
      </w:pPr>
      <w:r>
        <w:rPr>
          <w:rFonts w:ascii="Arial" w:hAnsi="Arial" w:eastAsia="Arial"/>
          <w:color w:val="000000"/>
          <w:sz w:val="21"/>
        </w:rPr>
        <w:t>Acknowledge the concern and state what staff can verify.</w:t>
      </w:r>
    </w:p>
    <w:p>
      <w:pPr>
        <w:pStyle w:val="ListBullet"/>
        <w:keepNext w:val="0"/>
        <w:spacing w:before="0" w:after="40" w:line="252" w:lineRule="auto"/>
      </w:pPr>
      <w:r>
        <w:rPr>
          <w:rFonts w:ascii="Arial" w:hAnsi="Arial" w:eastAsia="Arial"/>
          <w:color w:val="000000"/>
          <w:sz w:val="21"/>
        </w:rPr>
        <w:t>Use the customer’s words in the case record.</w:t>
      </w:r>
    </w:p>
    <w:p>
      <w:pPr>
        <w:pStyle w:val="ListBullet"/>
        <w:keepNext w:val="0"/>
        <w:spacing w:before="0" w:after="40" w:line="252" w:lineRule="auto"/>
      </w:pPr>
      <w:r>
        <w:rPr>
          <w:rFonts w:ascii="Arial" w:hAnsi="Arial" w:eastAsia="Arial"/>
          <w:color w:val="000000"/>
          <w:sz w:val="21"/>
        </w:rPr>
        <w:t>Separate the roles of the institution, SavvyMoney and TransUnion.</w:t>
      </w:r>
    </w:p>
    <w:p>
      <w:pPr>
        <w:pStyle w:val="ListBullet"/>
        <w:keepNext w:val="0"/>
        <w:spacing w:before="0" w:after="40" w:line="252" w:lineRule="auto"/>
      </w:pPr>
      <w:r>
        <w:rPr>
          <w:rFonts w:ascii="Arial" w:hAnsi="Arial" w:eastAsia="Arial"/>
          <w:color w:val="000000"/>
          <w:sz w:val="21"/>
        </w:rPr>
        <w:t>Give one next step, one owner and one update time.</w:t>
      </w:r>
    </w:p>
    <w:p>
      <w:pPr>
        <w:pStyle w:val="ListBullet"/>
        <w:keepNext w:val="0"/>
        <w:spacing w:before="0" w:after="40" w:line="252" w:lineRule="auto"/>
      </w:pPr>
      <w:r>
        <w:rPr>
          <w:rFonts w:ascii="Arial" w:hAnsi="Arial" w:eastAsia="Arial"/>
          <w:color w:val="000000"/>
          <w:sz w:val="21"/>
        </w:rPr>
        <w:t>Flag dissatisfaction under the complaint procedure even when the customer does not say complaint.</w:t>
      </w:r>
    </w:p>
    <w:p>
      <w:pPr>
        <w:pStyle w:val="Heading2"/>
        <w:keepNext/>
      </w:pPr>
      <w:r>
        <w:t>15.2 Prohibited statements</w:t>
      </w:r>
    </w:p>
    <w:p>
      <w:pPr>
        <w:pStyle w:val="ListBullet"/>
        <w:keepNext w:val="0"/>
        <w:spacing w:before="0" w:after="40" w:line="252" w:lineRule="auto"/>
      </w:pPr>
      <w:r>
        <w:rPr>
          <w:rFonts w:ascii="Arial" w:hAnsi="Arial" w:eastAsia="Arial"/>
          <w:color w:val="000000"/>
          <w:sz w:val="21"/>
        </w:rPr>
        <w:t>Do not predict a future score or credit approval.</w:t>
      </w:r>
    </w:p>
    <w:p>
      <w:pPr>
        <w:pStyle w:val="ListBullet"/>
        <w:keepNext w:val="0"/>
        <w:spacing w:before="0" w:after="40" w:line="252" w:lineRule="auto"/>
      </w:pPr>
      <w:r>
        <w:rPr>
          <w:rFonts w:ascii="Arial" w:hAnsi="Arial" w:eastAsia="Arial"/>
          <w:color w:val="000000"/>
          <w:sz w:val="21"/>
        </w:rPr>
        <w:t>Do not call a monitoring alert proof of fraud.</w:t>
      </w:r>
    </w:p>
    <w:p>
      <w:pPr>
        <w:pStyle w:val="ListBullet"/>
        <w:keepNext w:val="0"/>
        <w:spacing w:before="0" w:after="40" w:line="252" w:lineRule="auto"/>
      </w:pPr>
      <w:r>
        <w:rPr>
          <w:rFonts w:ascii="Arial" w:hAnsi="Arial" w:eastAsia="Arial"/>
          <w:color w:val="000000"/>
          <w:sz w:val="21"/>
        </w:rPr>
        <w:t>Do not promise a vendor or bureau resolution date that the institution does not control.</w:t>
      </w:r>
    </w:p>
    <w:p>
      <w:pPr>
        <w:pStyle w:val="ListBullet"/>
        <w:keepNext w:val="0"/>
        <w:spacing w:before="0" w:after="40" w:line="252" w:lineRule="auto"/>
      </w:pPr>
      <w:r>
        <w:rPr>
          <w:rFonts w:ascii="Arial" w:hAnsi="Arial" w:eastAsia="Arial"/>
          <w:color w:val="000000"/>
          <w:sz w:val="21"/>
        </w:rPr>
        <w:t>Do not close the customer case because another team or vendor received an email.</w:t>
      </w:r>
    </w:p>
    <w:p>
      <w:pPr>
        <w:pStyle w:val="ListBullet"/>
        <w:keepNext w:val="0"/>
        <w:spacing w:before="0" w:after="40" w:line="252" w:lineRule="auto"/>
      </w:pPr>
      <w:r>
        <w:rPr>
          <w:rFonts w:ascii="Arial" w:hAnsi="Arial" w:eastAsia="Arial"/>
          <w:color w:val="000000"/>
          <w:sz w:val="21"/>
        </w:rPr>
        <w:t>Do not tell the customer that the institution can correct bureau data.</w:t>
      </w:r>
    </w:p>
    <w:p>
      <w:pPr>
        <w:pStyle w:val="Heading2"/>
        <w:keepNext/>
      </w:pPr>
      <w:r>
        <w:t>15.3 Customer message templates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8063"/>
      </w:tblGrid>
      <w:tr>
        <w:trPr>
          <w:tblHeader w:val="true"/>
          <w:cantSplit/>
        </w:trPr>
        <w:tc>
          <w:tcPr>
            <w:tcW w:type="dxa" w:w="223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Use</w:t>
            </w:r>
          </w:p>
        </w:tc>
        <w:tc>
          <w:tcPr>
            <w:tcW w:type="dxa" w:w="8063"/>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Template</w:t>
            </w:r>
          </w:p>
        </w:tc>
      </w:tr>
      <w:tr>
        <w:trPr>
          <w:cantSplit/>
        </w:trPr>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Initial acknowledgement</w:t>
            </w:r>
          </w:p>
        </w:tc>
        <w:tc>
          <w:tcPr>
            <w:tcW w:type="dxa" w:w="8063"/>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I recorded what you experienced and assigned the case to [owner role]. Your next update is due by [time].</w:t>
            </w:r>
          </w:p>
        </w:tc>
      </w:tr>
      <w:tr>
        <w:trPr>
          <w:cantSplit/>
        </w:trPr>
        <w:tc>
          <w:tcPr>
            <w:tcW w:type="dxa" w:w="223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Technical escalation</w:t>
            </w:r>
          </w:p>
        </w:tc>
        <w:tc>
          <w:tcPr>
            <w:tcW w:type="dxa" w:w="8063"/>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We are reviewing the issue with our technical team. Your case remains open with us. We will update you by [time].</w:t>
            </w:r>
          </w:p>
        </w:tc>
      </w:tr>
      <w:tr>
        <w:trPr>
          <w:cantSplit/>
        </w:trPr>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No status change</w:t>
            </w:r>
          </w:p>
        </w:tc>
        <w:tc>
          <w:tcPr>
            <w:tcW w:type="dxa" w:w="8063"/>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The review is still in progress. We do not have a confirmed resolution yet. Your next update is due by [time].</w:t>
            </w:r>
          </w:p>
        </w:tc>
      </w:tr>
      <w:tr>
        <w:trPr>
          <w:cantSplit/>
        </w:trPr>
        <w:tc>
          <w:tcPr>
            <w:tcW w:type="dxa" w:w="223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Credit report accuracy</w:t>
            </w:r>
          </w:p>
        </w:tc>
        <w:tc>
          <w:tcPr>
            <w:tcW w:type="dxa" w:w="8063"/>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The institution cannot change credit bureau information. You can dispute inaccurate or incomplete report information through the Dispute option or TransUnion.</w:t>
            </w:r>
          </w:p>
        </w:tc>
      </w:tr>
      <w:tr>
        <w:trPr>
          <w:cantSplit/>
        </w:trPr>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Fraud concern</w:t>
            </w:r>
          </w:p>
        </w:tc>
        <w:tc>
          <w:tcPr>
            <w:tcW w:type="dxa" w:w="8063"/>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If you do not recognize the activity, we will follow our fraud procedure. We can also provide approved resources for protecting your TransUnion credit file.</w:t>
            </w:r>
          </w:p>
        </w:tc>
      </w:tr>
      <w:tr>
        <w:trPr>
          <w:cantSplit/>
        </w:trPr>
        <w:tc>
          <w:tcPr>
            <w:tcW w:type="dxa" w:w="223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8"/>
              </w:rPr>
              <w:t>Resolution</w:t>
            </w:r>
          </w:p>
        </w:tc>
        <w:tc>
          <w:tcPr>
            <w:tcW w:type="dxa" w:w="8063"/>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t>We verified [result]. Please confirm whether you can now [customer journey]. We will record the outcome and close the case after confirmation.</w:t>
            </w:r>
          </w:p>
        </w:tc>
      </w:tr>
    </w:tbl>
    <w:p>
      <w:pPr>
        <w:spacing w:after="20"/>
      </w:pPr>
    </w:p>
    <w:p>
      <w:pPr>
        <w:keepNext w:val="0"/>
        <w:spacing w:before="60" w:after="140" w:line="254" w:lineRule="auto"/>
      </w:pPr>
      <w:r>
        <w:rPr>
          <w:rFonts w:ascii="Arial" w:hAnsi="Arial" w:eastAsia="Arial"/>
          <w:b/>
          <w:color w:val="9A6B00"/>
          <w:sz w:val="21"/>
        </w:rPr>
        <w:t xml:space="preserve">Approval requirement  </w:t>
      </w:r>
      <w:r>
        <w:rPr>
          <w:rFonts w:ascii="Arial" w:hAnsi="Arial" w:eastAsia="Arial"/>
          <w:color w:val="000000"/>
          <w:sz w:val="21"/>
        </w:rPr>
        <w:t>Risk or Compliance should approve final customer scripts and any complaint, privacy, fraud or lending related language before distribution.</w:t>
      </w:r>
    </w:p>
    <w:p>
      <w:pPr>
        <w:spacing w:after="0"/>
      </w:pPr>
      <w:r>
        <w:br w:type="page"/>
      </w:r>
    </w:p>
    <w:p>
      <w:pPr>
        <w:pStyle w:val="Heading1"/>
        <w:keepNext/>
        <w:pageBreakBefore w:val="0"/>
      </w:pPr>
      <w:r>
        <w:t>16 Metrics daily review and management reporting</w:t>
      </w:r>
    </w:p>
    <w:p>
      <w:pPr>
        <w:pStyle w:val="Heading2"/>
        <w:keepNext/>
      </w:pPr>
      <w:r>
        <w:t>16.1 Core measures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392"/>
        <w:gridCol w:w="3528"/>
      </w:tblGrid>
      <w:tr>
        <w:trPr>
          <w:tblHeader w:val="true"/>
          <w:cantSplit/>
        </w:trPr>
        <w:tc>
          <w:tcPr>
            <w:tcW w:type="dxa" w:w="237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Measure</w:t>
            </w:r>
          </w:p>
        </w:tc>
        <w:tc>
          <w:tcPr>
            <w:tcW w:type="dxa" w:w="439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Definition</w:t>
            </w:r>
          </w:p>
        </w:tc>
        <w:tc>
          <w:tcPr>
            <w:tcW w:type="dxa" w:w="352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Decision use</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Contact rate</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Credit Sense contacts per 1,000 enrolled users</w:t>
            </w:r>
          </w:p>
        </w:tc>
        <w:tc>
          <w:tcPr>
            <w:tcW w:type="dxa" w:w="352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Separates adoption growth from support deterioration</w:t>
            </w:r>
          </w:p>
        </w:tc>
      </w:tr>
      <w:tr>
        <w:trPr>
          <w:cantSplit/>
        </w:trPr>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L1 containment</w:t>
            </w:r>
          </w:p>
        </w:tc>
        <w:tc>
          <w:tcPr>
            <w:tcW w:type="dxa" w:w="43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Cases resolved at L1 divided by resolved cases</w:t>
            </w:r>
          </w:p>
        </w:tc>
        <w:tc>
          <w:tcPr>
            <w:tcW w:type="dxa" w:w="352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Tests knowledge quality and routing discipline</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Escalation rate</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Cases sent to L2 L3 or a specialist divided by total cases</w:t>
            </w:r>
          </w:p>
        </w:tc>
        <w:tc>
          <w:tcPr>
            <w:tcW w:type="dxa" w:w="352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Identifies complexity and training gaps</w:t>
            </w:r>
          </w:p>
        </w:tc>
      </w:tr>
      <w:tr>
        <w:trPr>
          <w:cantSplit/>
        </w:trPr>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Backlog aging</w:t>
            </w:r>
          </w:p>
        </w:tc>
        <w:tc>
          <w:tcPr>
            <w:tcW w:type="dxa" w:w="43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Open cases by priority and age band</w:t>
            </w:r>
          </w:p>
        </w:tc>
        <w:tc>
          <w:tcPr>
            <w:tcW w:type="dxa" w:w="352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Triggers staffing, incident or management action</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Repeat contact</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Customers who contact again for the same issue</w:t>
            </w:r>
          </w:p>
        </w:tc>
        <w:tc>
          <w:tcPr>
            <w:tcW w:type="dxa" w:w="352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Identifies weak resolution or communication</w:t>
            </w:r>
          </w:p>
        </w:tc>
      </w:tr>
      <w:tr>
        <w:trPr>
          <w:cantSplit/>
        </w:trPr>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Complaint and harm signals</w:t>
            </w:r>
          </w:p>
        </w:tc>
        <w:tc>
          <w:tcPr>
            <w:tcW w:type="dxa" w:w="43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Complaints, fraud referrals, privacy events and remediation</w:t>
            </w:r>
          </w:p>
        </w:tc>
        <w:tc>
          <w:tcPr>
            <w:tcW w:type="dxa" w:w="352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Drives Risk review and corrective action</w:t>
            </w:r>
          </w:p>
        </w:tc>
      </w:tr>
      <w:tr>
        <w:trPr>
          <w:cantSplit/>
        </w:trPr>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Incident performance</w:t>
            </w:r>
          </w:p>
        </w:tc>
        <w:tc>
          <w:tcPr>
            <w:tcW w:type="dxa" w:w="43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Detection, response, recovery and customer update timing</w:t>
            </w:r>
          </w:p>
        </w:tc>
        <w:tc>
          <w:tcPr>
            <w:tcW w:type="dxa" w:w="352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Tests incident readiness and vendor performance</w:t>
            </w:r>
          </w:p>
        </w:tc>
      </w:tr>
    </w:tbl>
    <w:p>
      <w:pPr>
        <w:spacing w:after="20"/>
      </w:pPr>
    </w:p>
    <w:p>
      <w:pPr>
        <w:pStyle w:val="Heading2"/>
        <w:keepNext/>
      </w:pPr>
      <w:r>
        <w:t>16.2 Daily operations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5544"/>
        <w:gridCol w:w="2592"/>
      </w:tblGrid>
      <w:tr>
        <w:trPr>
          <w:tblHeader w:val="true"/>
          <w:cantSplit/>
        </w:trPr>
        <w:tc>
          <w:tcPr>
            <w:tcW w:type="dxa" w:w="216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Agenda item</w:t>
            </w:r>
          </w:p>
        </w:tc>
        <w:tc>
          <w:tcPr>
            <w:tcW w:type="dxa" w:w="554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Question</w:t>
            </w:r>
          </w:p>
        </w:tc>
        <w:tc>
          <w:tcPr>
            <w:tcW w:type="dxa" w:w="259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Output</w:t>
            </w:r>
          </w:p>
        </w:tc>
      </w:tr>
      <w:tr>
        <w:trPr>
          <w:cantSplit/>
        </w:trPr>
        <w:tc>
          <w:tcPr>
            <w:tcW w:type="dxa" w:w="216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Customer impact</w:t>
            </w:r>
          </w:p>
        </w:tc>
        <w:tc>
          <w:tcPr>
            <w:tcW w:type="dxa" w:w="55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What new P1 P2 complaints or harm signals appeared</w:t>
            </w:r>
          </w:p>
        </w:tc>
        <w:tc>
          <w:tcPr>
            <w:tcW w:type="dxa" w:w="25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Escalation and customer protection action</w:t>
            </w:r>
          </w:p>
        </w:tc>
      </w:tr>
      <w:tr>
        <w:trPr>
          <w:cantSplit/>
        </w:trPr>
        <w:tc>
          <w:tcPr>
            <w:tcW w:type="dxa" w:w="216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Operating health</w:t>
            </w:r>
          </w:p>
        </w:tc>
        <w:tc>
          <w:tcPr>
            <w:tcW w:type="dxa" w:w="55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What changed in volume aging repeats and containment</w:t>
            </w:r>
          </w:p>
        </w:tc>
        <w:tc>
          <w:tcPr>
            <w:tcW w:type="dxa" w:w="25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Staffing or process decision</w:t>
            </w:r>
          </w:p>
        </w:tc>
      </w:tr>
      <w:tr>
        <w:trPr>
          <w:cantSplit/>
        </w:trPr>
        <w:tc>
          <w:tcPr>
            <w:tcW w:type="dxa" w:w="216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Top scenarios</w:t>
            </w:r>
          </w:p>
        </w:tc>
        <w:tc>
          <w:tcPr>
            <w:tcW w:type="dxa" w:w="55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Which scenarios drive demand or repeat contact</w:t>
            </w:r>
          </w:p>
        </w:tc>
        <w:tc>
          <w:tcPr>
            <w:tcW w:type="dxa" w:w="25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Known issue script training or product action</w:t>
            </w:r>
          </w:p>
        </w:tc>
      </w:tr>
      <w:tr>
        <w:trPr>
          <w:cantSplit/>
        </w:trPr>
        <w:tc>
          <w:tcPr>
            <w:tcW w:type="dxa" w:w="216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Vendor actions</w:t>
            </w:r>
          </w:p>
        </w:tc>
        <w:tc>
          <w:tcPr>
            <w:tcW w:type="dxa" w:w="554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Which cases are blocked and when is the next response due</w:t>
            </w:r>
          </w:p>
        </w:tc>
        <w:tc>
          <w:tcPr>
            <w:tcW w:type="dxa" w:w="259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Owner and escalation decision</w:t>
            </w:r>
          </w:p>
        </w:tc>
      </w:tr>
      <w:tr>
        <w:trPr>
          <w:cantSplit/>
        </w:trPr>
        <w:tc>
          <w:tcPr>
            <w:tcW w:type="dxa" w:w="216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Decision log</w:t>
            </w:r>
          </w:p>
        </w:tc>
        <w:tc>
          <w:tcPr>
            <w:tcW w:type="dxa" w:w="554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What decision is needed and who owns it</w:t>
            </w:r>
          </w:p>
        </w:tc>
        <w:tc>
          <w:tcPr>
            <w:tcW w:type="dxa" w:w="259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Named owner and deadline</w:t>
            </w:r>
          </w:p>
        </w:tc>
      </w:tr>
    </w:tbl>
    <w:p>
      <w:pPr>
        <w:spacing w:after="20"/>
      </w:pPr>
    </w:p>
    <w:p>
      <w:pPr>
        <w:pStyle w:val="Heading2"/>
        <w:keepNext/>
      </w:pPr>
      <w:r>
        <w:t>16.3 Management reporting</w:t>
      </w:r>
    </w:p>
    <w:p>
      <w:pPr>
        <w:pStyle w:val="ListBullet"/>
        <w:keepNext w:val="0"/>
        <w:spacing w:before="0" w:after="40" w:line="252" w:lineRule="auto"/>
      </w:pPr>
      <w:r>
        <w:rPr>
          <w:rFonts w:ascii="Arial" w:hAnsi="Arial" w:eastAsia="Arial"/>
          <w:color w:val="000000"/>
          <w:sz w:val="21"/>
        </w:rPr>
        <w:t>Show both counts and rates so launch adoption does not hide service deterioration.</w:t>
      </w:r>
    </w:p>
    <w:p>
      <w:pPr>
        <w:pStyle w:val="ListBullet"/>
        <w:keepNext w:val="0"/>
        <w:spacing w:before="0" w:after="40" w:line="252" w:lineRule="auto"/>
      </w:pPr>
      <w:r>
        <w:rPr>
          <w:rFonts w:ascii="Arial" w:hAnsi="Arial" w:eastAsia="Arial"/>
          <w:color w:val="000000"/>
          <w:sz w:val="21"/>
        </w:rPr>
        <w:t>Segment results by channel, scenario, product version and day since launch.</w:t>
      </w:r>
    </w:p>
    <w:p>
      <w:pPr>
        <w:pStyle w:val="ListBullet"/>
        <w:keepNext w:val="0"/>
        <w:spacing w:before="0" w:after="40" w:line="252" w:lineRule="auto"/>
      </w:pPr>
      <w:r>
        <w:rPr>
          <w:rFonts w:ascii="Arial" w:hAnsi="Arial" w:eastAsia="Arial"/>
          <w:color w:val="000000"/>
          <w:sz w:val="21"/>
        </w:rPr>
        <w:t>Explain material changes and decisions rather than presenting metrics without context.</w:t>
      </w:r>
    </w:p>
    <w:p>
      <w:pPr>
        <w:pStyle w:val="ListBullet"/>
        <w:keepNext w:val="0"/>
        <w:spacing w:before="0" w:after="40" w:line="252" w:lineRule="auto"/>
      </w:pPr>
      <w:r>
        <w:rPr>
          <w:rFonts w:ascii="Arial" w:hAnsi="Arial" w:eastAsia="Arial"/>
          <w:color w:val="000000"/>
          <w:sz w:val="21"/>
        </w:rPr>
        <w:t>Report complaint, fraud and privacy trends with their disposition and corrective action.</w:t>
      </w:r>
    </w:p>
    <w:p>
      <w:pPr>
        <w:pStyle w:val="ListBullet"/>
        <w:keepNext w:val="0"/>
        <w:spacing w:before="0" w:after="40" w:line="252" w:lineRule="auto"/>
      </w:pPr>
      <w:r>
        <w:rPr>
          <w:rFonts w:ascii="Arial" w:hAnsi="Arial" w:eastAsia="Arial"/>
          <w:color w:val="000000"/>
          <w:sz w:val="21"/>
        </w:rPr>
        <w:t>Maintain stable definitions through hypercare and document any change.</w:t>
      </w:r>
    </w:p>
    <w:p>
      <w:pPr>
        <w:pStyle w:val="Heading2"/>
        <w:keepNext/>
        <w:pageBreakBefore/>
      </w:pPr>
      <w:r>
        <w:t>16.4 Institution thresholds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Field</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Institution entry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Approved P1 threshold</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Approved P2 threshold</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Contact rate trigger</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Backlog aging trigger</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Complaint trend trigger</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bl>
    <w:p>
      <w:pPr>
        <w:spacing w:after="20"/>
      </w:pPr>
    </w:p>
    <w:p>
      <w:pPr>
        <w:spacing w:after="0"/>
      </w:pPr>
      <w:r>
        <w:br w:type="page"/>
      </w:r>
    </w:p>
    <w:p>
      <w:pPr>
        <w:pStyle w:val="Heading1"/>
        <w:keepNext/>
        <w:pageBreakBefore w:val="0"/>
      </w:pPr>
      <w:r>
        <w:t>17 Transition to business as usual</w:t>
      </w:r>
    </w:p>
    <w:p>
      <w:pPr>
        <w:keepNext w:val="0"/>
        <w:spacing w:before="0" w:after="120" w:line="259" w:lineRule="auto"/>
      </w:pPr>
      <w:r>
        <w:rPr>
          <w:rFonts w:ascii="Arial" w:hAnsi="Arial" w:eastAsia="Arial"/>
          <w:i w:val="0"/>
          <w:color w:val="000000"/>
          <w:sz w:val="21"/>
        </w:rPr>
        <w:t>The BAU decision depends on evidence. Reaching Day 30 does not create automatic approval.</w:t>
      </w:r>
    </w:p>
    <w:p>
      <w:pPr>
        <w:keepNext/>
        <w:spacing w:before="100" w:after="60" w:line="240" w:lineRule="auto"/>
      </w:pPr>
      <w:r>
        <w:rPr>
          <w:rFonts w:ascii="Arial" w:hAnsi="Arial" w:eastAsia="Arial"/>
          <w:b/>
          <w:color w:val="526778"/>
          <w:sz w:val="20"/>
        </w:rPr>
        <w:t>BAU entry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6840"/>
        <w:gridCol w:w="1368"/>
      </w:tblGrid>
      <w:tr>
        <w:trPr>
          <w:tblHeader w:val="true"/>
          <w:cantSplit/>
        </w:trPr>
        <w:tc>
          <w:tcPr>
            <w:tcW w:type="dxa" w:w="208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Gate</w:t>
            </w:r>
          </w:p>
        </w:tc>
        <w:tc>
          <w:tcPr>
            <w:tcW w:type="dxa" w:w="684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Minimum evidence</w:t>
            </w:r>
          </w:p>
        </w:tc>
        <w:tc>
          <w:tcPr>
            <w:tcW w:type="dxa" w:w="1368"/>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Decision</w:t>
            </w:r>
          </w:p>
        </w:tc>
      </w:tr>
      <w:tr>
        <w:trPr>
          <w:cantSplit/>
        </w:trPr>
        <w:tc>
          <w:tcPr>
            <w:tcW w:type="dxa" w:w="20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Service stability</w:t>
            </w:r>
          </w:p>
        </w:tc>
        <w:tc>
          <w:tcPr>
            <w:tcW w:type="dxa" w:w="68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No unresolved P1. Any open P2 has an accepted risk, owner and date.</w:t>
            </w:r>
          </w:p>
        </w:tc>
        <w:tc>
          <w:tcPr>
            <w:tcW w:type="dxa" w:w="1368"/>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Meet  Extend</w:t>
            </w:r>
          </w:p>
        </w:tc>
      </w:tr>
      <w:tr>
        <w:trPr>
          <w:cantSplit/>
        </w:trPr>
        <w:tc>
          <w:tcPr>
            <w:tcW w:type="dxa" w:w="20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Demand stability</w:t>
            </w:r>
          </w:p>
        </w:tc>
        <w:tc>
          <w:tcPr>
            <w:tcW w:type="dxa" w:w="68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Contact rate and backlog remain within approved ranges for the approved period.</w:t>
            </w:r>
          </w:p>
        </w:tc>
        <w:tc>
          <w:tcPr>
            <w:tcW w:type="dxa" w:w="1368"/>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Meet  Extend</w:t>
            </w:r>
          </w:p>
        </w:tc>
      </w:tr>
      <w:tr>
        <w:trPr>
          <w:cantSplit/>
        </w:trPr>
        <w:tc>
          <w:tcPr>
            <w:tcW w:type="dxa" w:w="20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Customer protection</w:t>
            </w:r>
          </w:p>
        </w:tc>
        <w:tc>
          <w:tcPr>
            <w:tcW w:type="dxa" w:w="68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No unaddressed complaint, privacy, fraud or customer harm trend.</w:t>
            </w:r>
          </w:p>
        </w:tc>
        <w:tc>
          <w:tcPr>
            <w:tcW w:type="dxa" w:w="1368"/>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Meet  Extend</w:t>
            </w:r>
          </w:p>
        </w:tc>
      </w:tr>
      <w:tr>
        <w:trPr>
          <w:cantSplit/>
        </w:trPr>
        <w:tc>
          <w:tcPr>
            <w:tcW w:type="dxa" w:w="20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Knowledge readiness</w:t>
            </w:r>
          </w:p>
        </w:tc>
        <w:tc>
          <w:tcPr>
            <w:tcW w:type="dxa" w:w="68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Top scenarios have approved answers, trained owners and working escalation routes.</w:t>
            </w:r>
          </w:p>
        </w:tc>
        <w:tc>
          <w:tcPr>
            <w:tcW w:type="dxa" w:w="1368"/>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Meet  Extend</w:t>
            </w:r>
          </w:p>
        </w:tc>
      </w:tr>
      <w:tr>
        <w:trPr>
          <w:cantSplit/>
        </w:trPr>
        <w:tc>
          <w:tcPr>
            <w:tcW w:type="dxa" w:w="208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Operational ownership</w:t>
            </w:r>
          </w:p>
        </w:tc>
        <w:tc>
          <w:tcPr>
            <w:tcW w:type="dxa" w:w="68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BAU queues, coverage, dashboards, vendor routines and reporting work without launch support.</w:t>
            </w:r>
          </w:p>
        </w:tc>
        <w:tc>
          <w:tcPr>
            <w:tcW w:type="dxa" w:w="1368"/>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Meet  Extend</w:t>
            </w:r>
          </w:p>
        </w:tc>
      </w:tr>
      <w:tr>
        <w:trPr>
          <w:cantSplit/>
        </w:trPr>
        <w:tc>
          <w:tcPr>
            <w:tcW w:type="dxa" w:w="208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Residual risk</w:t>
            </w:r>
          </w:p>
        </w:tc>
        <w:tc>
          <w:tcPr>
            <w:tcW w:type="dxa" w:w="68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Open defects have impact, workaround, owner, target date and governance acceptance.</w:t>
            </w:r>
          </w:p>
        </w:tc>
        <w:tc>
          <w:tcPr>
            <w:tcW w:type="dxa" w:w="1368"/>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7"/>
              </w:rPr>
              <w:t>Meet  Extend</w:t>
            </w:r>
          </w:p>
        </w:tc>
      </w:tr>
    </w:tbl>
    <w:p>
      <w:pPr>
        <w:spacing w:after="20"/>
      </w:pPr>
    </w:p>
    <w:p>
      <w:pPr>
        <w:pStyle w:val="Heading2"/>
        <w:keepNext/>
      </w:pPr>
      <w:r>
        <w:t>17.1 BAU decision</w:t>
      </w:r>
    </w:p>
    <w:p>
      <w:pPr>
        <w:keepNext w:val="0"/>
        <w:spacing w:before="0" w:after="80" w:line="254" w:lineRule="auto"/>
        <w:ind w:left="317" w:hanging="317"/>
      </w:pPr>
      <w:r>
        <w:rPr>
          <w:rFonts w:ascii="Arial" w:hAnsi="Arial" w:eastAsia="Arial"/>
          <w:b/>
          <w:color w:val="0A7C86"/>
          <w:sz w:val="21"/>
        </w:rPr>
        <w:t xml:space="preserve">1. </w:t>
      </w:r>
      <w:r>
        <w:rPr>
          <w:rFonts w:ascii="Arial" w:hAnsi="Arial" w:eastAsia="Arial"/>
          <w:color w:val="000000"/>
          <w:sz w:val="21"/>
        </w:rPr>
        <w:t>The launch owner presents the entry gate evidence and unresolved risks.</w:t>
      </w:r>
    </w:p>
    <w:p>
      <w:pPr>
        <w:keepNext w:val="0"/>
        <w:spacing w:before="0" w:after="80" w:line="254" w:lineRule="auto"/>
        <w:ind w:left="317" w:hanging="317"/>
      </w:pPr>
      <w:r>
        <w:rPr>
          <w:rFonts w:ascii="Arial" w:hAnsi="Arial" w:eastAsia="Arial"/>
          <w:b/>
          <w:color w:val="0A7C86"/>
          <w:sz w:val="21"/>
        </w:rPr>
        <w:t xml:space="preserve">2. </w:t>
      </w:r>
      <w:r>
        <w:rPr>
          <w:rFonts w:ascii="Arial" w:hAnsi="Arial" w:eastAsia="Arial"/>
          <w:color w:val="000000"/>
          <w:sz w:val="21"/>
        </w:rPr>
        <w:t>Customer Support, Digital or Technology and Risk confirm BAU ownership and control readiness.</w:t>
      </w:r>
    </w:p>
    <w:p>
      <w:pPr>
        <w:keepNext w:val="0"/>
        <w:spacing w:before="0" w:after="80" w:line="254" w:lineRule="auto"/>
        <w:ind w:left="317" w:hanging="317"/>
      </w:pPr>
      <w:r>
        <w:rPr>
          <w:rFonts w:ascii="Arial" w:hAnsi="Arial" w:eastAsia="Arial"/>
          <w:b/>
          <w:color w:val="0A7C86"/>
          <w:sz w:val="21"/>
        </w:rPr>
        <w:t xml:space="preserve">3. </w:t>
      </w:r>
      <w:r>
        <w:rPr>
          <w:rFonts w:ascii="Arial" w:hAnsi="Arial" w:eastAsia="Arial"/>
          <w:color w:val="000000"/>
          <w:sz w:val="21"/>
        </w:rPr>
        <w:t>The governance group approves BAU, extends hypercare or defines a limited stabilization workstream.</w:t>
      </w:r>
    </w:p>
    <w:p>
      <w:pPr>
        <w:keepNext w:val="0"/>
        <w:spacing w:before="0" w:after="80" w:line="254" w:lineRule="auto"/>
        <w:ind w:left="317" w:hanging="317"/>
      </w:pPr>
      <w:r>
        <w:rPr>
          <w:rFonts w:ascii="Arial" w:hAnsi="Arial" w:eastAsia="Arial"/>
          <w:b/>
          <w:color w:val="0A7C86"/>
          <w:sz w:val="21"/>
        </w:rPr>
        <w:t xml:space="preserve">4. </w:t>
      </w:r>
      <w:r>
        <w:rPr>
          <w:rFonts w:ascii="Arial" w:hAnsi="Arial" w:eastAsia="Arial"/>
          <w:color w:val="000000"/>
          <w:sz w:val="21"/>
        </w:rPr>
        <w:t>The decision record lists residual risks, accountable owners, due dates and reporting requirements.</w:t>
      </w:r>
    </w:p>
    <w:p>
      <w:pPr>
        <w:keepNext w:val="0"/>
        <w:spacing w:before="0" w:after="80" w:line="254" w:lineRule="auto"/>
        <w:ind w:left="317" w:hanging="317"/>
      </w:pPr>
      <w:r>
        <w:rPr>
          <w:rFonts w:ascii="Arial" w:hAnsi="Arial" w:eastAsia="Arial"/>
          <w:b/>
          <w:color w:val="0A7C86"/>
          <w:sz w:val="21"/>
        </w:rPr>
        <w:t xml:space="preserve">5. </w:t>
      </w:r>
      <w:r>
        <w:rPr>
          <w:rFonts w:ascii="Arial" w:hAnsi="Arial" w:eastAsia="Arial"/>
          <w:color w:val="000000"/>
          <w:sz w:val="21"/>
        </w:rPr>
        <w:t>The runbook owner publishes the BAU version and archives superseded launch instructions.</w:t>
      </w:r>
    </w:p>
    <w:p>
      <w:pPr>
        <w:pStyle w:val="Heading2"/>
        <w:keepNext/>
      </w:pPr>
      <w:r>
        <w:t>17.2 Reentry to hypercare</w:t>
      </w:r>
    </w:p>
    <w:p>
      <w:pPr>
        <w:pStyle w:val="ListBullet"/>
        <w:keepNext w:val="0"/>
        <w:spacing w:before="0" w:after="40" w:line="252" w:lineRule="auto"/>
      </w:pPr>
      <w:r>
        <w:rPr>
          <w:rFonts w:ascii="Arial" w:hAnsi="Arial" w:eastAsia="Arial"/>
          <w:color w:val="000000"/>
          <w:sz w:val="21"/>
        </w:rPr>
        <w:t>A new P1 incident</w:t>
      </w:r>
    </w:p>
    <w:p>
      <w:pPr>
        <w:pStyle w:val="ListBullet"/>
        <w:keepNext w:val="0"/>
        <w:spacing w:before="0" w:after="40" w:line="252" w:lineRule="auto"/>
      </w:pPr>
      <w:r>
        <w:rPr>
          <w:rFonts w:ascii="Arial" w:hAnsi="Arial" w:eastAsia="Arial"/>
          <w:color w:val="000000"/>
          <w:sz w:val="21"/>
        </w:rPr>
        <w:t>A recurring P2 condition</w:t>
      </w:r>
    </w:p>
    <w:p>
      <w:pPr>
        <w:pStyle w:val="ListBullet"/>
        <w:keepNext w:val="0"/>
        <w:spacing w:before="0" w:after="40" w:line="252" w:lineRule="auto"/>
      </w:pPr>
      <w:r>
        <w:rPr>
          <w:rFonts w:ascii="Arial" w:hAnsi="Arial" w:eastAsia="Arial"/>
          <w:color w:val="000000"/>
          <w:sz w:val="21"/>
        </w:rPr>
        <w:t>A sharp increase in contact rate or aged backlog</w:t>
      </w:r>
    </w:p>
    <w:p>
      <w:pPr>
        <w:pStyle w:val="ListBullet"/>
        <w:keepNext w:val="0"/>
        <w:spacing w:before="0" w:after="40" w:line="252" w:lineRule="auto"/>
      </w:pPr>
      <w:r>
        <w:rPr>
          <w:rFonts w:ascii="Arial" w:hAnsi="Arial" w:eastAsia="Arial"/>
          <w:color w:val="000000"/>
          <w:sz w:val="21"/>
        </w:rPr>
        <w:t>A material complaint, fraud or privacy trend</w:t>
      </w:r>
    </w:p>
    <w:p>
      <w:pPr>
        <w:pStyle w:val="ListBullet"/>
        <w:keepNext w:val="0"/>
        <w:spacing w:before="0" w:after="40" w:line="252" w:lineRule="auto"/>
      </w:pPr>
      <w:r>
        <w:rPr>
          <w:rFonts w:ascii="Arial" w:hAnsi="Arial" w:eastAsia="Arial"/>
          <w:color w:val="000000"/>
          <w:sz w:val="21"/>
        </w:rPr>
        <w:t>Failure of a BAU queue, coverage, vendor or reporting control</w:t>
      </w:r>
    </w:p>
    <w:p>
      <w:pPr>
        <w:pStyle w:val="Heading2"/>
        <w:keepNext/>
      </w:pPr>
      <w:r>
        <w:t>17.3 BAU handoff package</w:t>
      </w:r>
    </w:p>
    <w:p>
      <w:pPr>
        <w:pStyle w:val="ListBullet"/>
        <w:keepNext w:val="0"/>
        <w:spacing w:before="0" w:after="40" w:line="252" w:lineRule="auto"/>
      </w:pPr>
      <w:r>
        <w:rPr>
          <w:rFonts w:ascii="Arial" w:hAnsi="Arial" w:eastAsia="Arial"/>
          <w:color w:val="000000"/>
          <w:sz w:val="21"/>
        </w:rPr>
        <w:t>Approved BAU procedure and contact directory</w:t>
      </w:r>
    </w:p>
    <w:p>
      <w:pPr>
        <w:pStyle w:val="ListBullet"/>
        <w:keepNext w:val="0"/>
        <w:spacing w:before="0" w:after="40" w:line="252" w:lineRule="auto"/>
      </w:pPr>
      <w:r>
        <w:rPr>
          <w:rFonts w:ascii="Arial" w:hAnsi="Arial" w:eastAsia="Arial"/>
          <w:color w:val="000000"/>
          <w:sz w:val="21"/>
        </w:rPr>
        <w:t>Open issue and residual risk register</w:t>
      </w:r>
    </w:p>
    <w:p>
      <w:pPr>
        <w:pStyle w:val="ListBullet"/>
        <w:keepNext w:val="0"/>
        <w:spacing w:before="0" w:after="40" w:line="252" w:lineRule="auto"/>
      </w:pPr>
      <w:r>
        <w:rPr>
          <w:rFonts w:ascii="Arial" w:hAnsi="Arial" w:eastAsia="Arial"/>
          <w:color w:val="000000"/>
          <w:sz w:val="21"/>
        </w:rPr>
        <w:t>Knowledge base ownership and review calendar</w:t>
      </w:r>
    </w:p>
    <w:p>
      <w:pPr>
        <w:pStyle w:val="ListBullet"/>
        <w:keepNext w:val="0"/>
        <w:spacing w:before="0" w:after="40" w:line="252" w:lineRule="auto"/>
      </w:pPr>
      <w:r>
        <w:rPr>
          <w:rFonts w:ascii="Arial" w:hAnsi="Arial" w:eastAsia="Arial"/>
          <w:color w:val="000000"/>
          <w:sz w:val="21"/>
        </w:rPr>
        <w:t>Vendor case and service review cadence</w:t>
      </w:r>
    </w:p>
    <w:p>
      <w:pPr>
        <w:pStyle w:val="ListBullet"/>
        <w:keepNext w:val="0"/>
        <w:spacing w:before="0" w:after="40" w:line="252" w:lineRule="auto"/>
      </w:pPr>
      <w:r>
        <w:rPr>
          <w:rFonts w:ascii="Arial" w:hAnsi="Arial" w:eastAsia="Arial"/>
          <w:color w:val="000000"/>
          <w:sz w:val="21"/>
        </w:rPr>
        <w:t>Dashboard definitions, thresholds and distribution</w:t>
      </w:r>
    </w:p>
    <w:p>
      <w:pPr>
        <w:pStyle w:val="ListBullet"/>
        <w:keepNext w:val="0"/>
        <w:spacing w:before="0" w:after="40" w:line="252" w:lineRule="auto"/>
      </w:pPr>
      <w:r>
        <w:rPr>
          <w:rFonts w:ascii="Arial" w:hAnsi="Arial" w:eastAsia="Arial"/>
          <w:color w:val="000000"/>
          <w:sz w:val="21"/>
        </w:rPr>
        <w:t>Signed BAU decision record</w:t>
      </w:r>
    </w:p>
    <w:p>
      <w:pPr>
        <w:spacing w:after="0"/>
      </w:pPr>
      <w:r>
        <w:br w:type="page"/>
      </w:r>
    </w:p>
    <w:p>
      <w:pPr>
        <w:pStyle w:val="Heading1"/>
        <w:keepNext/>
        <w:pageBreakBefore w:val="0"/>
      </w:pPr>
      <w:r>
        <w:t>Appendix A Verified product facts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3240"/>
        <w:gridCol w:w="2232"/>
      </w:tblGrid>
      <w:tr>
        <w:trPr>
          <w:tblHeader w:val="true"/>
          <w:cantSplit/>
        </w:trPr>
        <w:tc>
          <w:tcPr>
            <w:tcW w:type="dxa" w:w="4824"/>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Statement</w:t>
            </w:r>
          </w:p>
        </w:tc>
        <w:tc>
          <w:tcPr>
            <w:tcW w:type="dxa" w:w="324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Operational use</w:t>
            </w:r>
          </w:p>
        </w:tc>
        <w:tc>
          <w:tcPr>
            <w:tcW w:type="dxa" w:w="223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Validation</w:t>
            </w:r>
          </w:p>
        </w:tc>
      </w:tr>
      <w:tr>
        <w:trPr>
          <w:cantSplit/>
        </w:trPr>
        <w:tc>
          <w:tcPr>
            <w:tcW w:type="dxa" w:w="48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The displayed score uses TransUnion data and VantageScore 3.0 with a 300 to 850 range.</w:t>
            </w:r>
          </w:p>
        </w:tc>
        <w:tc>
          <w:tcPr>
            <w:tcW w:type="dxa" w:w="32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Explain why a lender score can differ.</w:t>
            </w:r>
          </w:p>
        </w:tc>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Current public feature guide</w:t>
            </w:r>
          </w:p>
        </w:tc>
      </w:tr>
      <w:tr>
        <w:trPr>
          <w:cantSplit/>
        </w:trPr>
        <w:tc>
          <w:tcPr>
            <w:tcW w:type="dxa" w:w="482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Checking Credit Sense uses a soft inquiry and does not lower the score.</w:t>
            </w:r>
          </w:p>
        </w:tc>
        <w:tc>
          <w:tcPr>
            <w:tcW w:type="dxa" w:w="32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Apply only to checking Credit Sense, not a separate credit application.</w:t>
            </w:r>
          </w:p>
        </w:tc>
        <w:tc>
          <w:tcPr>
            <w:tcW w:type="dxa" w:w="223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Official FAQ</w:t>
            </w:r>
          </w:p>
        </w:tc>
      </w:tr>
      <w:tr>
        <w:trPr>
          <w:cantSplit/>
        </w:trPr>
        <w:tc>
          <w:tcPr>
            <w:tcW w:type="dxa" w:w="48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Manual refresh is available as often as once every 24 hours.</w:t>
            </w:r>
          </w:p>
        </w:tc>
        <w:tc>
          <w:tcPr>
            <w:tcW w:type="dxa" w:w="32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Use the displayed last updated date during diagnosis.</w:t>
            </w:r>
          </w:p>
        </w:tc>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Confirmed across public materials</w:t>
            </w:r>
          </w:p>
        </w:tc>
      </w:tr>
      <w:tr>
        <w:trPr>
          <w:cantSplit/>
        </w:trPr>
        <w:tc>
          <w:tcPr>
            <w:tcW w:type="dxa" w:w="482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Automatic refresh cadence requires institution confirmation.</w:t>
            </w:r>
          </w:p>
        </w:tc>
        <w:tc>
          <w:tcPr>
            <w:tcW w:type="dxa" w:w="32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Do not promise a schedule.</w:t>
            </w:r>
          </w:p>
        </w:tc>
        <w:tc>
          <w:tcPr>
            <w:tcW w:type="dxa" w:w="223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Public FAQ says seven days. Feature guide says at least monthly.</w:t>
            </w:r>
          </w:p>
        </w:tc>
      </w:tr>
      <w:tr>
        <w:trPr>
          <w:cantSplit/>
        </w:trPr>
        <w:tc>
          <w:tcPr>
            <w:tcW w:type="dxa" w:w="48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Monitoring scans for key changes daily and sends alerts in digital banking and by email.</w:t>
            </w:r>
          </w:p>
        </w:tc>
        <w:tc>
          <w:tcPr>
            <w:tcW w:type="dxa" w:w="32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Alert types and settings may vary by configuration.</w:t>
            </w:r>
          </w:p>
        </w:tc>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Official FAQ</w:t>
            </w:r>
          </w:p>
        </w:tc>
      </w:tr>
      <w:tr>
        <w:trPr>
          <w:cantSplit/>
        </w:trPr>
        <w:tc>
          <w:tcPr>
            <w:tcW w:type="dxa" w:w="4824"/>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The institution does not receive the customer’s full credit file unless the customer chooses to share it.</w:t>
            </w:r>
          </w:p>
        </w:tc>
        <w:tc>
          <w:tcPr>
            <w:tcW w:type="dxa" w:w="324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Apply local consent, analytics and privacy disclosures.</w:t>
            </w:r>
          </w:p>
        </w:tc>
        <w:tc>
          <w:tcPr>
            <w:tcW w:type="dxa" w:w="223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Official FAQ</w:t>
            </w:r>
          </w:p>
        </w:tc>
      </w:tr>
      <w:tr>
        <w:trPr>
          <w:cantSplit/>
        </w:trPr>
        <w:tc>
          <w:tcPr>
            <w:tcW w:type="dxa" w:w="4824"/>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TransUnion accepts disputes about inaccurate or incomplete report information, not the score itself.</w:t>
            </w:r>
          </w:p>
        </w:tc>
        <w:tc>
          <w:tcPr>
            <w:tcW w:type="dxa" w:w="324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Route report data disputes to TransUnion.</w:t>
            </w:r>
          </w:p>
        </w:tc>
        <w:tc>
          <w:tcPr>
            <w:tcW w:type="dxa" w:w="223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TransUnion dispute resources</w:t>
            </w:r>
          </w:p>
        </w:tc>
      </w:tr>
    </w:tbl>
    <w:p>
      <w:pPr>
        <w:spacing w:after="20"/>
      </w:pPr>
    </w:p>
    <w:p>
      <w:pPr>
        <w:keepNext w:val="0"/>
        <w:spacing w:before="60" w:after="140" w:line="254" w:lineRule="auto"/>
      </w:pPr>
      <w:r>
        <w:rPr>
          <w:rFonts w:ascii="Arial" w:hAnsi="Arial" w:eastAsia="Arial"/>
          <w:b/>
          <w:color w:val="0A7C86"/>
          <w:sz w:val="21"/>
        </w:rPr>
        <w:t xml:space="preserve">Revalidation rule  </w:t>
      </w:r>
      <w:r>
        <w:rPr>
          <w:rFonts w:ascii="Arial" w:hAnsi="Arial" w:eastAsia="Arial"/>
          <w:color w:val="000000"/>
          <w:sz w:val="21"/>
        </w:rPr>
        <w:t>Revalidate product facts, enabled features, support routes and contract terms before launch and after a material product, integration or contract change.</w:t>
      </w:r>
    </w:p>
    <w:p>
      <w:pPr>
        <w:spacing w:after="0"/>
      </w:pPr>
      <w:r>
        <w:br w:type="page"/>
      </w:r>
    </w:p>
    <w:p>
      <w:pPr>
        <w:pStyle w:val="Heading1"/>
        <w:keepNext/>
        <w:pageBreakBefore w:val="0"/>
      </w:pPr>
      <w:r>
        <w:t>Appendix B Contact directory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4320"/>
        <w:gridCol w:w="2376"/>
        <w:gridCol w:w="1152"/>
      </w:tblGrid>
      <w:tr>
        <w:trPr>
          <w:tblHeader w:val="true"/>
          <w:cantSplit/>
        </w:trPr>
        <w:tc>
          <w:tcPr>
            <w:tcW w:type="dxa" w:w="2448"/>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Need</w:t>
            </w:r>
          </w:p>
        </w:tc>
        <w:tc>
          <w:tcPr>
            <w:tcW w:type="dxa" w:w="432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Primary route</w:t>
            </w:r>
          </w:p>
        </w:tc>
        <w:tc>
          <w:tcPr>
            <w:tcW w:type="dxa" w:w="237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Backup or after hours</w:t>
            </w:r>
          </w:p>
        </w:tc>
        <w:tc>
          <w:tcPr>
            <w:tcW w:type="dxa" w:w="1152"/>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Verified date</w:t>
            </w:r>
          </w:p>
        </w:tc>
      </w:tr>
      <w:tr>
        <w:trPr>
          <w:cantSplit/>
        </w:trPr>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Launch owner</w:t>
            </w:r>
          </w:p>
        </w:tc>
        <w:tc>
          <w:tcPr>
            <w:tcW w:type="dxa" w:w="43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15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Customer Support lead</w:t>
            </w:r>
          </w:p>
        </w:tc>
        <w:tc>
          <w:tcPr>
            <w:tcW w:type="dxa" w:w="432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15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L2 Credit Sense SME</w:t>
            </w:r>
          </w:p>
        </w:tc>
        <w:tc>
          <w:tcPr>
            <w:tcW w:type="dxa" w:w="43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15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Technology incident</w:t>
            </w:r>
          </w:p>
        </w:tc>
        <w:tc>
          <w:tcPr>
            <w:tcW w:type="dxa" w:w="432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15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Risk or Compliance</w:t>
            </w:r>
          </w:p>
        </w:tc>
        <w:tc>
          <w:tcPr>
            <w:tcW w:type="dxa" w:w="43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15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Fraud</w:t>
            </w:r>
          </w:p>
        </w:tc>
        <w:tc>
          <w:tcPr>
            <w:tcW w:type="dxa" w:w="432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15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Privacy</w:t>
            </w:r>
          </w:p>
        </w:tc>
        <w:tc>
          <w:tcPr>
            <w:tcW w:type="dxa" w:w="43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15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Communications</w:t>
            </w:r>
          </w:p>
        </w:tc>
        <w:tc>
          <w:tcPr>
            <w:tcW w:type="dxa" w:w="432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c>
          <w:tcPr>
            <w:tcW w:type="dxa" w:w="115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SavvyMoney partner support</w:t>
            </w:r>
          </w:p>
        </w:tc>
        <w:tc>
          <w:tcPr>
            <w:tcW w:type="dxa" w:w="43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Partner Hub or validated partner support route</w:t>
            </w:r>
          </w:p>
        </w:tc>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Assigned Partner Manager</w:t>
            </w:r>
          </w:p>
        </w:tc>
        <w:tc>
          <w:tcPr>
            <w:tcW w:type="dxa" w:w="115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SavvyMoney end user support</w:t>
            </w:r>
          </w:p>
        </w:tc>
        <w:tc>
          <w:tcPr>
            <w:tcW w:type="dxa" w:w="432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Validated local policy for support@savvymoney.com</w:t>
            </w:r>
          </w:p>
        </w:tc>
        <w:tc>
          <w:tcPr>
            <w:tcW w:type="dxa" w:w="237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Institution case owner</w:t>
            </w:r>
          </w:p>
        </w:tc>
        <w:tc>
          <w:tcPr>
            <w:tcW w:type="dxa" w:w="1152"/>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r>
        <w:trPr>
          <w:cantSplit/>
        </w:trPr>
        <w:tc>
          <w:tcPr>
            <w:tcW w:type="dxa" w:w="2448"/>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7"/>
              </w:rPr>
              <w:t>TransUnion consumer dispute</w:t>
            </w:r>
          </w:p>
        </w:tc>
        <w:tc>
          <w:tcPr>
            <w:tcW w:type="dxa" w:w="432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TransUnion Service Center</w:t>
            </w:r>
          </w:p>
        </w:tc>
        <w:tc>
          <w:tcPr>
            <w:tcW w:type="dxa" w:w="237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t>Validated consumer support route</w:t>
            </w:r>
          </w:p>
        </w:tc>
        <w:tc>
          <w:tcPr>
            <w:tcW w:type="dxa" w:w="1152"/>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7"/>
              </w:rPr>
            </w:r>
          </w:p>
        </w:tc>
      </w:tr>
    </w:tbl>
    <w:p>
      <w:pPr>
        <w:spacing w:after="20"/>
      </w:pPr>
    </w:p>
    <w:p>
      <w:pPr>
        <w:keepNext w:val="0"/>
        <w:spacing w:before="60" w:after="140" w:line="254" w:lineRule="auto"/>
      </w:pPr>
      <w:r>
        <w:rPr>
          <w:rFonts w:ascii="Arial" w:hAnsi="Arial" w:eastAsia="Arial"/>
          <w:b/>
          <w:color w:val="526778"/>
          <w:sz w:val="21"/>
        </w:rPr>
        <w:t xml:space="preserve">Contact control  </w:t>
      </w:r>
      <w:r>
        <w:rPr>
          <w:rFonts w:ascii="Arial" w:hAnsi="Arial" w:eastAsia="Arial"/>
          <w:color w:val="000000"/>
          <w:sz w:val="21"/>
        </w:rPr>
        <w:t>The runbook owner verifies internal and vendor routes before launch, after any staffing or contract change, and at the institution’s normal control frequency.</w:t>
      </w:r>
    </w:p>
    <w:p>
      <w:pPr>
        <w:spacing w:after="0"/>
      </w:pPr>
      <w:r>
        <w:br w:type="page"/>
      </w:r>
    </w:p>
    <w:p>
      <w:pPr>
        <w:pStyle w:val="Heading1"/>
        <w:keepNext/>
        <w:pageBreakBefore w:val="0"/>
      </w:pPr>
      <w:r>
        <w:t>Appendix C Operational templates</w:t>
      </w:r>
    </w:p>
    <w:p>
      <w:pPr>
        <w:pStyle w:val="Heading2"/>
        <w:keepNext/>
      </w:pPr>
      <w:r>
        <w:t>C.1 Case intake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Field</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Institution entry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Internal case ID</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Customer identifier permitted by policy</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Contact date time and channel</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Customer wording and requested outcome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Online or mobile environment</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Affected Credit Sense feature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Last updated date displayed</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Approved steps and results</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Impact and priority</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Complaint fraud or privacy indicator</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Current owner and next update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bl>
    <w:p>
      <w:pPr>
        <w:spacing w:after="20"/>
      </w:pPr>
    </w:p>
    <w:p>
      <w:pPr>
        <w:pStyle w:val="Heading2"/>
        <w:keepNext/>
        <w:pageBreakBefore/>
      </w:pPr>
      <w:r>
        <w:t>C.2 Vendor escalation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Field</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Institution entry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Internal case or incident ID</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Vendor case number</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Priority and customer impact</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Affected channels and first known time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Reproduction and diagnostic result</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Sanitized evidence location</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Workaround</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Vendor owner</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Next vendor update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Internal customer update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Resolution evidence and root cause due date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bl>
    <w:p>
      <w:pPr>
        <w:spacing w:after="20"/>
      </w:pPr>
    </w:p>
    <w:p>
      <w:pPr>
        <w:pStyle w:val="Heading2"/>
        <w:keepNext/>
      </w:pPr>
      <w:r>
        <w:t>C.3 Daily operations decision 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680"/>
        <w:gridCol w:w="1655"/>
        <w:gridCol w:w="1296"/>
        <w:gridCol w:w="1368"/>
      </w:tblGrid>
      <w:tr>
        <w:trPr>
          <w:tblHeader w:val="true"/>
          <w:cantSplit/>
        </w:trPr>
        <w:tc>
          <w:tcPr>
            <w:tcW w:type="dxa" w:w="1296"/>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Time</w:t>
            </w:r>
          </w:p>
        </w:tc>
        <w:tc>
          <w:tcPr>
            <w:tcW w:type="dxa" w:w="46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Issue or decision</w:t>
            </w:r>
          </w:p>
        </w:tc>
        <w:tc>
          <w:tcPr>
            <w:tcW w:type="dxa" w:w="1655"/>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Owner</w:t>
            </w:r>
          </w:p>
        </w:tc>
        <w:tc>
          <w:tcPr>
            <w:tcW w:type="dxa" w:w="1296"/>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Due</w:t>
            </w:r>
          </w:p>
        </w:tc>
        <w:tc>
          <w:tcPr>
            <w:tcW w:type="dxa" w:w="1368"/>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Status</w:t>
            </w:r>
          </w:p>
        </w:tc>
      </w:tr>
      <w:tr>
        <w:trPr>
          <w:cantSplit/>
        </w:trPr>
        <w:tc>
          <w:tcPr>
            <w:tcW w:type="dxa" w:w="129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46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655"/>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29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1368"/>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129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46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655"/>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29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1368"/>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129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46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655"/>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29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1368"/>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129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46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655"/>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29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1368"/>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129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46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655"/>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29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1368"/>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129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46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655"/>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29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1368"/>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129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46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655"/>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296"/>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1368"/>
            <w:shd w:fill="FFFFFF"/>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r>
        <w:trPr>
          <w:cantSplit/>
        </w:trPr>
        <w:tc>
          <w:tcPr>
            <w:tcW w:type="dxa" w:w="129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46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655"/>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8"/>
              </w:rPr>
            </w:r>
          </w:p>
        </w:tc>
        <w:tc>
          <w:tcPr>
            <w:tcW w:type="dxa" w:w="1296"/>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c>
          <w:tcPr>
            <w:tcW w:type="dxa" w:w="1368"/>
            <w:shd w:fill="EEF4F8"/>
            <w:tcMar>
              <w:top w:w="90" w:type="dxa"/>
              <w:start w:w="105" w:type="dxa"/>
              <w:bottom w:w="90" w:type="dxa"/>
              <w:end w:w="105" w:type="dxa"/>
            </w:tcMar>
            <w:vAlign w:val="center"/>
          </w:tcPr>
          <w:p>
            <w:pPr>
              <w:keepNext w:val="0"/>
              <w:spacing w:before="0" w:after="0" w:line="247" w:lineRule="auto"/>
              <w:jc w:val="center"/>
            </w:pPr>
            <w:r>
              <w:rPr>
                <w:rFonts w:ascii="Arial" w:hAnsi="Arial" w:eastAsia="Arial"/>
                <w:b w:val="0"/>
                <w:color w:val="000000"/>
                <w:sz w:val="18"/>
              </w:rPr>
            </w:r>
          </w:p>
        </w:tc>
      </w:tr>
    </w:tbl>
    <w:p>
      <w:pPr>
        <w:spacing w:after="20"/>
      </w:pPr>
    </w:p>
    <w:p>
      <w:pPr>
        <w:pStyle w:val="Heading2"/>
        <w:keepNext/>
        <w:pageBreakBefore/>
      </w:pPr>
      <w:r>
        <w:t>C.4 Shift handoff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Field</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Institution entry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Outgoing and receiving leads</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Open P1 and P2 incidents</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Aged P3 and customer callbacks</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Vendor cases and next updates</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Known issue or script changes</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Complaint fraud or privacy referrals</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Next dashboard owner</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bl>
    <w:p>
      <w:pPr>
        <w:spacing w:after="20"/>
      </w:pPr>
    </w:p>
    <w:p>
      <w:pPr>
        <w:pStyle w:val="Heading2"/>
        <w:keepNext/>
        <w:pageBreakBefore/>
      </w:pPr>
      <w:r>
        <w:t>C.5 BAU approval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7416"/>
      </w:tblGrid>
      <w:tr>
        <w:trPr>
          <w:tblHeader w:val="true"/>
          <w:cantSplit/>
        </w:trPr>
        <w:tc>
          <w:tcPr>
            <w:tcW w:type="dxa" w:w="288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Field</w:t>
            </w:r>
          </w:p>
        </w:tc>
        <w:tc>
          <w:tcPr>
            <w:tcW w:type="dxa" w:w="741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Institution entry</w:t>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Decision</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t>Approve BAU   Extend hypercare   Limited stabilization</w:t>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Decision date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Service stability evidence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Demand stability evidence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Customer protection evidence</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Knowledge and ownership evidence</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Residual risks and due dates</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Approvers</w:t>
            </w:r>
          </w:p>
        </w:tc>
        <w:tc>
          <w:tcPr>
            <w:tcW w:type="dxa" w:w="7416"/>
            <w:shd w:fill="EEF4F8"/>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r>
        <w:trPr>
          <w:cantSplit/>
        </w:trPr>
        <w:tc>
          <w:tcPr>
            <w:tcW w:type="dxa" w:w="2880"/>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color w:val="000000"/>
                <w:sz w:val="19"/>
              </w:rPr>
              <w:t>Next governance review</w:t>
            </w:r>
          </w:p>
        </w:tc>
        <w:tc>
          <w:tcPr>
            <w:tcW w:type="dxa" w:w="7416"/>
            <w:shd w:fill="FFFFFF"/>
            <w:tcMar>
              <w:top w:w="90" w:type="dxa"/>
              <w:start w:w="105" w:type="dxa"/>
              <w:bottom w:w="90" w:type="dxa"/>
              <w:end w:w="105" w:type="dxa"/>
            </w:tcMar>
            <w:vAlign w:val="center"/>
          </w:tcPr>
          <w:p>
            <w:pPr>
              <w:keepNext w:val="0"/>
              <w:spacing w:before="0" w:after="0" w:line="247" w:lineRule="auto"/>
              <w:jc w:val="left"/>
            </w:pPr>
            <w:r>
              <w:rPr>
                <w:rFonts w:ascii="Arial" w:hAnsi="Arial" w:eastAsia="Arial"/>
                <w:b w:val="0"/>
                <w:color w:val="000000"/>
                <w:sz w:val="19"/>
              </w:rPr>
            </w:r>
          </w:p>
        </w:tc>
      </w:tr>
    </w:tbl>
    <w:p>
      <w:pPr>
        <w:spacing w:after="20"/>
      </w:pPr>
    </w:p>
    <w:p>
      <w:pPr>
        <w:spacing w:after="0"/>
      </w:pPr>
      <w:r>
        <w:br w:type="page"/>
      </w:r>
    </w:p>
    <w:p>
      <w:pPr>
        <w:pStyle w:val="Heading1"/>
        <w:keepNext/>
        <w:pageBreakBefore w:val="0"/>
      </w:pPr>
      <w:r>
        <w:t>Appendix D Source register</w:t>
      </w:r>
    </w:p>
    <w:p>
      <w:pPr>
        <w:keepNext w:val="0"/>
        <w:spacing w:before="0" w:after="120" w:line="259" w:lineRule="auto"/>
      </w:pPr>
      <w:r>
        <w:rPr>
          <w:rFonts w:ascii="Arial" w:hAnsi="Arial" w:eastAsia="Arial"/>
          <w:i w:val="0"/>
          <w:color w:val="000000"/>
          <w:sz w:val="21"/>
        </w:rPr>
        <w:t>The sources below were reviewed on September 17, 2026. Public vendor materials support product facts and public routes, but the executed agreement and institution configuration control service commitments and production behavior.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5256"/>
        <w:gridCol w:w="1800"/>
      </w:tblGrid>
      <w:tr>
        <w:trPr>
          <w:tblHeader w:val="true"/>
        </w:trPr>
        <w:tc>
          <w:tcPr>
            <w:tcW w:type="dxa" w:w="3240"/>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Source</w:t>
            </w:r>
          </w:p>
        </w:tc>
        <w:tc>
          <w:tcPr>
            <w:tcW w:type="dxa" w:w="5256"/>
            <w:shd w:fill="163A5F"/>
            <w:tcMar>
              <w:top w:w="100" w:type="dxa"/>
              <w:start w:w="110" w:type="dxa"/>
              <w:bottom w:w="100" w:type="dxa"/>
              <w:end w:w="110" w:type="dxa"/>
            </w:tcMar>
            <w:vAlign w:val="center"/>
          </w:tcPr>
          <w:p>
            <w:pPr>
              <w:keepNext w:val="0"/>
              <w:spacing w:before="0" w:after="0" w:line="240" w:lineRule="auto"/>
              <w:jc w:val="left"/>
            </w:pPr>
            <w:r>
              <w:rPr>
                <w:rFonts w:ascii="Arial" w:hAnsi="Arial" w:eastAsia="Arial"/>
                <w:b/>
                <w:color w:val="FFFFFF"/>
                <w:sz w:val="18"/>
              </w:rPr>
              <w:t>Use in this runbook</w:t>
            </w:r>
          </w:p>
        </w:tc>
        <w:tc>
          <w:tcPr>
            <w:tcW w:type="dxa" w:w="1800"/>
            <w:shd w:fill="163A5F"/>
            <w:tcMar>
              <w:top w:w="100" w:type="dxa"/>
              <w:start w:w="110" w:type="dxa"/>
              <w:bottom w:w="100" w:type="dxa"/>
              <w:end w:w="110" w:type="dxa"/>
            </w:tcMar>
            <w:vAlign w:val="center"/>
          </w:tcPr>
          <w:p>
            <w:pPr>
              <w:keepNext w:val="0"/>
              <w:spacing w:before="0" w:after="0" w:line="240" w:lineRule="auto"/>
              <w:jc w:val="center"/>
            </w:pPr>
            <w:r>
              <w:rPr>
                <w:rFonts w:ascii="Arial" w:hAnsi="Arial" w:eastAsia="Arial"/>
                <w:b/>
                <w:color w:val="FFFFFF"/>
                <w:sz w:val="18"/>
              </w:rPr>
              <w:t>Access</w:t>
            </w:r>
          </w:p>
        </w:tc>
      </w:tr>
      <w:tr>
        <w:trPr>
          <w:cantSplit/>
        </w:trPr>
        <w:tc>
          <w:tcPr>
            <w:tcW w:type="dxa" w:w="3240"/>
            <w:shd w:fill="FFFFFF"/>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SavvyMoney Credit Score FAQs</w:t>
            </w:r>
          </w:p>
        </w:tc>
        <w:tc>
          <w:tcPr>
            <w:tcW w:type="dxa" w:w="5256"/>
            <w:shd w:fill="FFFFFF"/>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Product overview, soft inquiry, monitoring, sharing, dispute path and profile behavior</w:t>
            </w:r>
          </w:p>
        </w:tc>
        <w:tc>
          <w:tcPr>
            <w:tcW w:type="dxa" w:w="1800"/>
            <w:shd w:fill="FFFFFF"/>
            <w:tcMar>
              <w:top w:w="90" w:type="dxa"/>
              <w:start w:w="105" w:type="dxa"/>
              <w:bottom w:w="90" w:type="dxa"/>
              <w:end w:w="105" w:type="dxa"/>
            </w:tcMar>
            <w:vAlign w:val="center"/>
          </w:tcPr>
          <w:p>
            <w:pPr>
              <w:keepNext w:val="0"/>
              <w:spacing w:before="0" w:after="0" w:line="247" w:lineRule="auto"/>
              <w:jc w:val="center"/>
            </w:pPr>
            <w:hyperlink r:id="rId13">
              <w:r>
                <w:rPr>
                  <w:color w:val="0A7C86"/>
                  <w:u w:val="single"/>
                  <w:rFonts w:ascii="Arial" w:hAnsi="Arial"/>
                </w:rPr>
                <w:t>Open source</w:t>
              </w:r>
            </w:hyperlink>
          </w:p>
        </w:tc>
      </w:tr>
      <w:tr>
        <w:trPr>
          <w:cantSplit/>
        </w:trPr>
        <w:tc>
          <w:tcPr>
            <w:tcW w:type="dxa" w:w="3240"/>
            <w:shd w:fill="EEF4F8"/>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SavvyMoney Credit Score Feature Guide</w:t>
            </w:r>
          </w:p>
        </w:tc>
        <w:tc>
          <w:tcPr>
            <w:tcW w:type="dxa" w:w="5256"/>
            <w:shd w:fill="EEF4F8"/>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TransUnion VantageScore 3.0, score range, manual refresh and dispute experience</w:t>
            </w:r>
          </w:p>
        </w:tc>
        <w:tc>
          <w:tcPr>
            <w:tcW w:type="dxa" w:w="1800"/>
            <w:shd w:fill="EEF4F8"/>
            <w:tcMar>
              <w:top w:w="90" w:type="dxa"/>
              <w:start w:w="105" w:type="dxa"/>
              <w:bottom w:w="90" w:type="dxa"/>
              <w:end w:w="105" w:type="dxa"/>
            </w:tcMar>
            <w:vAlign w:val="center"/>
          </w:tcPr>
          <w:p>
            <w:pPr>
              <w:keepNext w:val="0"/>
              <w:spacing w:before="0" w:after="0" w:line="247" w:lineRule="auto"/>
              <w:jc w:val="center"/>
            </w:pPr>
            <w:hyperlink r:id="rId14">
              <w:r>
                <w:rPr>
                  <w:color w:val="0A7C86"/>
                  <w:u w:val="single"/>
                  <w:rFonts w:ascii="Arial" w:hAnsi="Arial"/>
                </w:rPr>
                <w:t>Open source</w:t>
              </w:r>
            </w:hyperlink>
          </w:p>
        </w:tc>
      </w:tr>
      <w:tr>
        <w:trPr>
          <w:cantSplit/>
        </w:trPr>
        <w:tc>
          <w:tcPr>
            <w:tcW w:type="dxa" w:w="3240"/>
            <w:shd w:fill="FFFFFF"/>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SavvyMoney Support Documentation</w:t>
            </w:r>
          </w:p>
        </w:tc>
        <w:tc>
          <w:tcPr>
            <w:tcW w:type="dxa" w:w="5256"/>
            <w:shd w:fill="FFFFFF"/>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Historical partner and end user support routes and historical service level examples</w:t>
            </w:r>
          </w:p>
        </w:tc>
        <w:tc>
          <w:tcPr>
            <w:tcW w:type="dxa" w:w="1800"/>
            <w:shd w:fill="FFFFFF"/>
            <w:tcMar>
              <w:top w:w="90" w:type="dxa"/>
              <w:start w:w="105" w:type="dxa"/>
              <w:bottom w:w="90" w:type="dxa"/>
              <w:end w:w="105" w:type="dxa"/>
            </w:tcMar>
            <w:vAlign w:val="center"/>
          </w:tcPr>
          <w:p>
            <w:pPr>
              <w:keepNext w:val="0"/>
              <w:spacing w:before="0" w:after="0" w:line="247" w:lineRule="auto"/>
              <w:jc w:val="center"/>
            </w:pPr>
            <w:hyperlink r:id="rId15">
              <w:r>
                <w:rPr>
                  <w:color w:val="0A7C86"/>
                  <w:u w:val="single"/>
                  <w:rFonts w:ascii="Arial" w:hAnsi="Arial"/>
                </w:rPr>
                <w:t>Open source</w:t>
              </w:r>
            </w:hyperlink>
          </w:p>
        </w:tc>
      </w:tr>
      <w:tr>
        <w:trPr>
          <w:cantSplit/>
        </w:trPr>
        <w:tc>
          <w:tcPr>
            <w:tcW w:type="dxa" w:w="3240"/>
            <w:shd w:fill="EEF4F8"/>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SavvyMoney Partner Hub</w:t>
            </w:r>
          </w:p>
        </w:tc>
        <w:tc>
          <w:tcPr>
            <w:tcW w:type="dxa" w:w="5256"/>
            <w:shd w:fill="EEF4F8"/>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Current public description of partner resources and support access</w:t>
            </w:r>
          </w:p>
        </w:tc>
        <w:tc>
          <w:tcPr>
            <w:tcW w:type="dxa" w:w="1800"/>
            <w:shd w:fill="EEF4F8"/>
            <w:tcMar>
              <w:top w:w="90" w:type="dxa"/>
              <w:start w:w="105" w:type="dxa"/>
              <w:bottom w:w="90" w:type="dxa"/>
              <w:end w:w="105" w:type="dxa"/>
            </w:tcMar>
            <w:vAlign w:val="center"/>
          </w:tcPr>
          <w:p>
            <w:pPr>
              <w:keepNext w:val="0"/>
              <w:spacing w:before="0" w:after="0" w:line="247" w:lineRule="auto"/>
              <w:jc w:val="center"/>
            </w:pPr>
            <w:hyperlink r:id="rId16">
              <w:r>
                <w:rPr>
                  <w:color w:val="0A7C86"/>
                  <w:u w:val="single"/>
                  <w:rFonts w:ascii="Arial" w:hAnsi="Arial"/>
                </w:rPr>
                <w:t>Open source</w:t>
              </w:r>
            </w:hyperlink>
          </w:p>
        </w:tc>
      </w:tr>
      <w:tr>
        <w:trPr>
          <w:cantSplit/>
        </w:trPr>
        <w:tc>
          <w:tcPr>
            <w:tcW w:type="dxa" w:w="3240"/>
            <w:shd w:fill="FFFFFF"/>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SavvyMoney Terms of Service</w:t>
            </w:r>
          </w:p>
        </w:tc>
        <w:tc>
          <w:tcPr>
            <w:tcW w:type="dxa" w:w="5256"/>
            <w:shd w:fill="FFFFFF"/>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Current public support address and account termination language</w:t>
            </w:r>
          </w:p>
        </w:tc>
        <w:tc>
          <w:tcPr>
            <w:tcW w:type="dxa" w:w="1800"/>
            <w:shd w:fill="FFFFFF"/>
            <w:tcMar>
              <w:top w:w="90" w:type="dxa"/>
              <w:start w:w="105" w:type="dxa"/>
              <w:bottom w:w="90" w:type="dxa"/>
              <w:end w:w="105" w:type="dxa"/>
            </w:tcMar>
            <w:vAlign w:val="center"/>
          </w:tcPr>
          <w:p>
            <w:pPr>
              <w:keepNext w:val="0"/>
              <w:spacing w:before="0" w:after="0" w:line="247" w:lineRule="auto"/>
              <w:jc w:val="center"/>
            </w:pPr>
            <w:hyperlink r:id="rId17">
              <w:r>
                <w:rPr>
                  <w:color w:val="0A7C86"/>
                  <w:u w:val="single"/>
                  <w:rFonts w:ascii="Arial" w:hAnsi="Arial"/>
                </w:rPr>
                <w:t>Open source</w:t>
              </w:r>
            </w:hyperlink>
          </w:p>
        </w:tc>
      </w:tr>
      <w:tr>
        <w:trPr>
          <w:cantSplit/>
        </w:trPr>
        <w:tc>
          <w:tcPr>
            <w:tcW w:type="dxa" w:w="3240"/>
            <w:shd w:fill="EEF4F8"/>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SavvyMoney Privacy Policy</w:t>
            </w:r>
          </w:p>
        </w:tc>
        <w:tc>
          <w:tcPr>
            <w:tcW w:type="dxa" w:w="5256"/>
            <w:shd w:fill="EEF4F8"/>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Current public privacy practices and request routes</w:t>
            </w:r>
          </w:p>
        </w:tc>
        <w:tc>
          <w:tcPr>
            <w:tcW w:type="dxa" w:w="1800"/>
            <w:shd w:fill="EEF4F8"/>
            <w:tcMar>
              <w:top w:w="90" w:type="dxa"/>
              <w:start w:w="105" w:type="dxa"/>
              <w:bottom w:w="90" w:type="dxa"/>
              <w:end w:w="105" w:type="dxa"/>
            </w:tcMar>
            <w:vAlign w:val="center"/>
          </w:tcPr>
          <w:p>
            <w:pPr>
              <w:keepNext w:val="0"/>
              <w:spacing w:before="0" w:after="0" w:line="247" w:lineRule="auto"/>
              <w:jc w:val="center"/>
            </w:pPr>
            <w:hyperlink r:id="rId18">
              <w:r>
                <w:rPr>
                  <w:color w:val="0A7C86"/>
                  <w:u w:val="single"/>
                  <w:rFonts w:ascii="Arial" w:hAnsi="Arial"/>
                </w:rPr>
                <w:t>Open source</w:t>
              </w:r>
            </w:hyperlink>
          </w:p>
        </w:tc>
      </w:tr>
      <w:tr>
        <w:trPr>
          <w:cantSplit/>
        </w:trPr>
        <w:tc>
          <w:tcPr>
            <w:tcW w:type="dxa" w:w="3240"/>
            <w:shd w:fill="FFFFFF"/>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TransUnion Consumer Support</w:t>
            </w:r>
          </w:p>
        </w:tc>
        <w:tc>
          <w:tcPr>
            <w:tcW w:type="dxa" w:w="5256"/>
            <w:shd w:fill="FFFFFF"/>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Disputes, freezes, fraud alerts and identity theft resources</w:t>
            </w:r>
          </w:p>
        </w:tc>
        <w:tc>
          <w:tcPr>
            <w:tcW w:type="dxa" w:w="1800"/>
            <w:shd w:fill="FFFFFF"/>
            <w:tcMar>
              <w:top w:w="90" w:type="dxa"/>
              <w:start w:w="105" w:type="dxa"/>
              <w:bottom w:w="90" w:type="dxa"/>
              <w:end w:w="105" w:type="dxa"/>
            </w:tcMar>
            <w:vAlign w:val="center"/>
          </w:tcPr>
          <w:p>
            <w:pPr>
              <w:keepNext w:val="0"/>
              <w:spacing w:before="0" w:after="0" w:line="247" w:lineRule="auto"/>
              <w:jc w:val="center"/>
            </w:pPr>
            <w:hyperlink r:id="rId19">
              <w:r>
                <w:rPr>
                  <w:color w:val="0A7C86"/>
                  <w:u w:val="single"/>
                  <w:rFonts w:ascii="Arial" w:hAnsi="Arial"/>
                </w:rPr>
                <w:t>Open source</w:t>
              </w:r>
            </w:hyperlink>
          </w:p>
        </w:tc>
      </w:tr>
      <w:tr>
        <w:trPr>
          <w:cantSplit/>
        </w:trPr>
        <w:tc>
          <w:tcPr>
            <w:tcW w:type="dxa" w:w="3240"/>
            <w:shd w:fill="EEF4F8"/>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TransUnion Credit Disputes</w:t>
            </w:r>
          </w:p>
        </w:tc>
        <w:tc>
          <w:tcPr>
            <w:tcW w:type="dxa" w:w="5256"/>
            <w:shd w:fill="EEF4F8"/>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Credit report dispute process and score dispute boundary</w:t>
            </w:r>
          </w:p>
        </w:tc>
        <w:tc>
          <w:tcPr>
            <w:tcW w:type="dxa" w:w="1800"/>
            <w:shd w:fill="EEF4F8"/>
            <w:tcMar>
              <w:top w:w="90" w:type="dxa"/>
              <w:start w:w="105" w:type="dxa"/>
              <w:bottom w:w="90" w:type="dxa"/>
              <w:end w:w="105" w:type="dxa"/>
            </w:tcMar>
            <w:vAlign w:val="center"/>
          </w:tcPr>
          <w:p>
            <w:pPr>
              <w:keepNext w:val="0"/>
              <w:spacing w:before="0" w:after="0" w:line="247" w:lineRule="auto"/>
              <w:jc w:val="center"/>
            </w:pPr>
            <w:hyperlink r:id="rId20">
              <w:r>
                <w:rPr>
                  <w:color w:val="0A7C86"/>
                  <w:u w:val="single"/>
                  <w:rFonts w:ascii="Arial" w:hAnsi="Arial"/>
                </w:rPr>
                <w:t>Open source</w:t>
              </w:r>
            </w:hyperlink>
          </w:p>
        </w:tc>
      </w:tr>
      <w:tr>
        <w:trPr>
          <w:cantSplit/>
        </w:trPr>
        <w:tc>
          <w:tcPr>
            <w:tcW w:type="dxa" w:w="3240"/>
            <w:shd w:fill="FFFFFF"/>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TransUnion Dispute Support Center</w:t>
            </w:r>
          </w:p>
        </w:tc>
        <w:tc>
          <w:tcPr>
            <w:tcW w:type="dxa" w:w="5256"/>
            <w:shd w:fill="FFFFFF"/>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Dispute status, timing, fraud and identity theft guidance</w:t>
            </w:r>
          </w:p>
        </w:tc>
        <w:tc>
          <w:tcPr>
            <w:tcW w:type="dxa" w:w="1800"/>
            <w:shd w:fill="FFFFFF"/>
            <w:tcMar>
              <w:top w:w="90" w:type="dxa"/>
              <w:start w:w="105" w:type="dxa"/>
              <w:bottom w:w="90" w:type="dxa"/>
              <w:end w:w="105" w:type="dxa"/>
            </w:tcMar>
            <w:vAlign w:val="center"/>
          </w:tcPr>
          <w:p>
            <w:pPr>
              <w:keepNext w:val="0"/>
              <w:spacing w:before="0" w:after="0" w:line="247" w:lineRule="auto"/>
              <w:jc w:val="center"/>
            </w:pPr>
            <w:hyperlink r:id="rId21">
              <w:r>
                <w:rPr>
                  <w:color w:val="0A7C86"/>
                  <w:u w:val="single"/>
                  <w:rFonts w:ascii="Arial" w:hAnsi="Arial"/>
                </w:rPr>
                <w:t>Open source</w:t>
              </w:r>
            </w:hyperlink>
          </w:p>
        </w:tc>
      </w:tr>
      <w:tr>
        <w:trPr>
          <w:cantSplit/>
        </w:trPr>
        <w:tc>
          <w:tcPr>
            <w:tcW w:type="dxa" w:w="3240"/>
            <w:shd w:fill="EEF4F8"/>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Interagency Third Party Risk Guidance</w:t>
            </w:r>
          </w:p>
        </w:tc>
        <w:tc>
          <w:tcPr>
            <w:tcW w:type="dxa" w:w="5256"/>
            <w:shd w:fill="EEF4F8"/>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Institution accountability and third party monitoring principles</w:t>
            </w:r>
          </w:p>
        </w:tc>
        <w:tc>
          <w:tcPr>
            <w:tcW w:type="dxa" w:w="1800"/>
            <w:shd w:fill="EEF4F8"/>
            <w:tcMar>
              <w:top w:w="90" w:type="dxa"/>
              <w:start w:w="105" w:type="dxa"/>
              <w:bottom w:w="90" w:type="dxa"/>
              <w:end w:w="105" w:type="dxa"/>
            </w:tcMar>
            <w:vAlign w:val="center"/>
          </w:tcPr>
          <w:p>
            <w:pPr>
              <w:keepNext w:val="0"/>
              <w:spacing w:before="0" w:after="0" w:line="247" w:lineRule="auto"/>
              <w:jc w:val="center"/>
            </w:pPr>
            <w:hyperlink r:id="rId22">
              <w:r>
                <w:rPr>
                  <w:color w:val="0A7C86"/>
                  <w:u w:val="single"/>
                  <w:rFonts w:ascii="Arial" w:hAnsi="Arial"/>
                </w:rPr>
                <w:t>Open source</w:t>
              </w:r>
            </w:hyperlink>
          </w:p>
        </w:tc>
      </w:tr>
      <w:tr>
        <w:trPr>
          <w:cantSplit/>
        </w:trPr>
        <w:tc>
          <w:tcPr>
            <w:tcW w:type="dxa" w:w="3240"/>
            <w:shd w:fill="FFFFFF"/>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Third Party Risk Management Guide for Community Banks</w:t>
            </w:r>
          </w:p>
        </w:tc>
        <w:tc>
          <w:tcPr>
            <w:tcW w:type="dxa" w:w="5256"/>
            <w:shd w:fill="FFFFFF"/>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Lifecycle oversight, documentation and reporting considerations</w:t>
            </w:r>
          </w:p>
        </w:tc>
        <w:tc>
          <w:tcPr>
            <w:tcW w:type="dxa" w:w="1800"/>
            <w:shd w:fill="FFFFFF"/>
            <w:tcMar>
              <w:top w:w="90" w:type="dxa"/>
              <w:start w:w="105" w:type="dxa"/>
              <w:bottom w:w="90" w:type="dxa"/>
              <w:end w:w="105" w:type="dxa"/>
            </w:tcMar>
            <w:vAlign w:val="center"/>
          </w:tcPr>
          <w:p>
            <w:pPr>
              <w:keepNext w:val="0"/>
              <w:spacing w:before="0" w:after="0" w:line="247" w:lineRule="auto"/>
              <w:jc w:val="center"/>
            </w:pPr>
            <w:hyperlink r:id="rId23">
              <w:r>
                <w:rPr>
                  <w:color w:val="0A7C86"/>
                  <w:u w:val="single"/>
                  <w:rFonts w:ascii="Arial" w:hAnsi="Arial"/>
                </w:rPr>
                <w:t>Open source</w:t>
              </w:r>
            </w:hyperlink>
          </w:p>
        </w:tc>
      </w:tr>
      <w:tr>
        <w:trPr>
          <w:cantSplit/>
        </w:trPr>
        <w:tc>
          <w:tcPr>
            <w:tcW w:type="dxa" w:w="3240"/>
            <w:shd w:fill="EEF4F8"/>
            <w:tcMar>
              <w:top w:w="90" w:type="dxa"/>
              <w:start w:w="105" w:type="dxa"/>
              <w:bottom w:w="90" w:type="dxa"/>
              <w:end w:w="105" w:type="dxa"/>
            </w:tcMar>
            <w:vAlign w:val="center"/>
          </w:tcPr>
          <w:p>
            <w:pPr>
              <w:keepNext w:val="0"/>
              <w:spacing w:before="0" w:after="0" w:line="247" w:lineRule="auto"/>
            </w:pPr>
            <w:r>
              <w:rPr>
                <w:rFonts w:ascii="Arial" w:hAnsi="Arial" w:eastAsia="Arial"/>
                <w:b/>
                <w:color w:val="000000"/>
                <w:sz w:val="17"/>
              </w:rPr>
              <w:t>CFPB Supervision and Examination Manual</w:t>
            </w:r>
          </w:p>
        </w:tc>
        <w:tc>
          <w:tcPr>
            <w:tcW w:type="dxa" w:w="5256"/>
            <w:shd w:fill="EEF4F8"/>
            <w:tcMar>
              <w:top w:w="90" w:type="dxa"/>
              <w:start w:w="105" w:type="dxa"/>
              <w:bottom w:w="90" w:type="dxa"/>
              <w:end w:w="105" w:type="dxa"/>
            </w:tcMar>
            <w:vAlign w:val="center"/>
          </w:tcPr>
          <w:p>
            <w:pPr>
              <w:keepNext w:val="0"/>
              <w:spacing w:before="0" w:after="0" w:line="247" w:lineRule="auto"/>
            </w:pPr>
            <w:r>
              <w:rPr>
                <w:rFonts w:ascii="Arial" w:hAnsi="Arial" w:eastAsia="Arial"/>
                <w:color w:val="000000"/>
                <w:sz w:val="17"/>
              </w:rPr>
              <w:t>Complaint recording, escalation, resolution and management reporting expectations</w:t>
            </w:r>
          </w:p>
        </w:tc>
        <w:tc>
          <w:tcPr>
            <w:tcW w:type="dxa" w:w="1800"/>
            <w:shd w:fill="EEF4F8"/>
            <w:tcMar>
              <w:top w:w="90" w:type="dxa"/>
              <w:start w:w="105" w:type="dxa"/>
              <w:bottom w:w="90" w:type="dxa"/>
              <w:end w:w="105" w:type="dxa"/>
            </w:tcMar>
            <w:vAlign w:val="center"/>
          </w:tcPr>
          <w:p>
            <w:pPr>
              <w:keepNext w:val="0"/>
              <w:spacing w:before="0" w:after="0" w:line="247" w:lineRule="auto"/>
              <w:jc w:val="center"/>
            </w:pPr>
            <w:hyperlink r:id="rId24">
              <w:r>
                <w:rPr>
                  <w:color w:val="0A7C86"/>
                  <w:u w:val="single"/>
                  <w:rFonts w:ascii="Arial" w:hAnsi="Arial"/>
                </w:rPr>
                <w:t>Open source</w:t>
              </w:r>
            </w:hyperlink>
          </w:p>
        </w:tc>
      </w:tr>
    </w:tbl>
    <w:p>
      <w:pPr>
        <w:keepNext w:val="0"/>
        <w:spacing w:before="60" w:after="140" w:line="254" w:lineRule="auto"/>
      </w:pPr>
      <w:r>
        <w:rPr>
          <w:rFonts w:ascii="Arial" w:hAnsi="Arial" w:eastAsia="Arial"/>
          <w:b/>
          <w:color w:val="A61B1B"/>
          <w:sz w:val="21"/>
        </w:rPr>
        <w:t xml:space="preserve">Final control  </w:t>
      </w:r>
      <w:r>
        <w:rPr>
          <w:rFonts w:ascii="Arial" w:hAnsi="Arial" w:eastAsia="Arial"/>
          <w:color w:val="000000"/>
          <w:sz w:val="21"/>
        </w:rPr>
        <w:t>Complete all institution entry fields, validate all customer statements and service commitments, obtain the approval record, and publish the controlled copy before frontline use.</w:t>
      </w:r>
    </w:p>
    <w:sectPr w:rsidR="00FC693F" w:rsidRPr="0006063C" w:rsidSect="00034616">
      <w:headerReference w:type="default" r:id="rId9"/>
      <w:headerReference w:type="even" r:id="rId10"/>
      <w:footerReference w:type="default" r:id="rId11"/>
      <w:footerReference w:type="even" r:id="rId12"/>
      <w:pgSz w:w="12240" w:h="15840"/>
      <w:pgMar w:top="1008" w:right="965" w:bottom="936" w:left="96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5155" w:val="center"/>
        <w:tab w:pos="10310" w:val="right"/>
      </w:tabs>
      <w:spacing w:before="0" w:after="0" w:line="240" w:lineRule="auto"/>
    </w:pPr>
    <w:r>
      <w:rPr>
        <w:rFonts w:ascii="Arial" w:hAnsi="Arial" w:eastAsia="Arial"/>
        <w:color w:val="526778"/>
        <w:sz w:val="17"/>
      </w:rPr>
      <w:t>Version 1.0</w:t>
    </w:r>
    <w:r>
      <w:tab/>
    </w:r>
    <w:r>
      <w:rPr>
        <w:rFonts w:ascii="Arial" w:hAnsi="Arial" w:eastAsia="Arial"/>
        <w:color w:val="526778"/>
        <w:sz w:val="17"/>
      </w:rPr>
      <w:t>September 17, 2026</w:t>
    </w:r>
    <w:r>
      <w:tab/>
    </w:r>
    <w:r>
      <w:rPr>
        <w:rFonts w:ascii="Arial" w:hAnsi="Arial" w:eastAsia="Arial"/>
        <w:color w:val="526778"/>
        <w:sz w:val="17"/>
      </w:rPr>
      <w:t xml:space="preserve">Page </w:t>
    </w:r>
    <w:r>
      <w:rPr>
        <w:rFonts w:ascii="Arial" w:hAnsi="Arial" w:eastAsia="Arial"/>
        <w:color w:val="526778"/>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5155" w:val="center"/>
        <w:tab w:pos="10310" w:val="right"/>
      </w:tabs>
      <w:spacing w:before="0" w:after="0" w:line="240" w:lineRule="auto"/>
    </w:pPr>
    <w:r>
      <w:rPr>
        <w:rFonts w:ascii="Arial" w:hAnsi="Arial" w:eastAsia="Arial"/>
        <w:color w:val="526778"/>
        <w:sz w:val="17"/>
      </w:rPr>
      <w:t>Version 1.0</w:t>
    </w:r>
    <w:r>
      <w:tab/>
    </w:r>
    <w:r>
      <w:rPr>
        <w:rFonts w:ascii="Arial" w:hAnsi="Arial" w:eastAsia="Arial"/>
        <w:color w:val="526778"/>
        <w:sz w:val="17"/>
      </w:rPr>
      <w:t>September 17, 2026</w:t>
    </w:r>
    <w:r>
      <w:tab/>
    </w:r>
    <w:r>
      <w:rPr>
        <w:rFonts w:ascii="Arial" w:hAnsi="Arial" w:eastAsia="Arial"/>
        <w:color w:val="526778"/>
        <w:sz w:val="17"/>
      </w:rPr>
      <w:t xml:space="preserve">Page </w:t>
    </w:r>
    <w:r>
      <w:rPr>
        <w:rFonts w:ascii="Arial" w:hAnsi="Arial" w:eastAsia="Arial"/>
        <w:color w:val="5267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Arial" w:hAnsi="Arial" w:eastAsia="Arial"/>
        <w:b/>
        <w:color w:val="526778"/>
        <w:sz w:val="17"/>
      </w:rPr>
      <w:t>SavvyMoney Credit Sense Customer Support Operations</w:t>
    </w:r>
    <w:r>
      <w:rPr>
        <w:rFonts w:ascii="Arial" w:hAnsi="Arial" w:eastAsia="Arial"/>
        <w:color w:val="526778"/>
        <w:sz w:val="17"/>
      </w:rPr>
      <w:t xml:space="preserve">  |  Internal Use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Arial" w:hAnsi="Arial" w:eastAsia="Arial"/>
        <w:b/>
        <w:color w:val="526778"/>
        <w:sz w:val="17"/>
      </w:rPr>
      <w:t>SavvyMoney Credit Sense Customer Support Operations</w:t>
    </w:r>
    <w:r>
      <w:rPr>
        <w:rFonts w:ascii="Arial" w:hAnsi="Arial" w:eastAsia="Arial"/>
        <w:color w:val="526778"/>
        <w:sz w:val="17"/>
      </w:rPr>
      <w:t xml:space="preserve">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267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hub.savvymoney.com/cms/delivery/media/MC4VEVWHCSOBCZVN7K4DDHALKZMI" TargetMode="External"/><Relationship Id="rId14" Type="http://schemas.openxmlformats.org/officeDocument/2006/relationships/hyperlink" Target="https://hub.savvymoney.com/cms/delivery/media/MC6XKPXMHZ5JDXNLMBIR4DA6U24Y" TargetMode="External"/><Relationship Id="rId15" Type="http://schemas.openxmlformats.org/officeDocument/2006/relationships/hyperlink" Target="https://hub.savvymoney.com/cms/delivery/media/MCVVOFZ3TWVRG3JOVM4TPIXIPODU" TargetMode="External"/><Relationship Id="rId16" Type="http://schemas.openxmlformats.org/officeDocument/2006/relationships/hyperlink" Target="https://www.savvymoney.com/products/the-hub/" TargetMode="External"/><Relationship Id="rId17" Type="http://schemas.openxmlformats.org/officeDocument/2006/relationships/hyperlink" Target="https://www.savvymoney.com/terms-of-service/" TargetMode="External"/><Relationship Id="rId18" Type="http://schemas.openxmlformats.org/officeDocument/2006/relationships/hyperlink" Target="https://www.savvymoney.com/privacy-policy/" TargetMode="External"/><Relationship Id="rId19" Type="http://schemas.openxmlformats.org/officeDocument/2006/relationships/hyperlink" Target="https://www.transunion.com/customer-support/contact-us-consumers" TargetMode="External"/><Relationship Id="rId20" Type="http://schemas.openxmlformats.org/officeDocument/2006/relationships/hyperlink" Target="https://www.transunion.com/credit-disputes/dispute-your-credit" TargetMode="External"/><Relationship Id="rId21" Type="http://schemas.openxmlformats.org/officeDocument/2006/relationships/hyperlink" Target="https://www.transunion.com/credit-disputes/credit-disputes-faq" TargetMode="External"/><Relationship Id="rId22" Type="http://schemas.openxmlformats.org/officeDocument/2006/relationships/hyperlink" Target="https://www.fdic.gov/news/financial-institution-letters/2023/fil23029.html" TargetMode="External"/><Relationship Id="rId23" Type="http://schemas.openxmlformats.org/officeDocument/2006/relationships/hyperlink" Target="https://www.fdic.gov/news/financial-institution-letters/2024/third-party-risk-management-guide-community-banks" TargetMode="External"/><Relationship Id="rId24" Type="http://schemas.openxmlformats.org/officeDocument/2006/relationships/hyperlink" Target="https://files.consumerfinance.gov/f/documents/cfpb_supervision-and-examination-manual_2022-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SavvyMoney Credit Sense Customer Support Operations Runbook</dc:title>
  <dc:subject>Day 0 through Day 30 launch support stabilization and transition to business as usual</dc:subject>
  <dc:creator>Customer Support Operations</dc:creator>
  <cp:keywords>SavvyMoney Credit Sense customer support hypercare stabilization runbook</cp:keywords>
  <dc:description>generated by python-docx</dc:description>
  <cp:lastModifiedBy>Customer Support Operations</cp:lastModifiedBy>
  <cp:revision>1</cp:revision>
  <dcterms:created xsi:type="dcterms:W3CDTF">2013-12-23T23:15:00Z</dcterms:created>
  <dcterms:modified xsi:type="dcterms:W3CDTF">2013-12-23T23:15:00Z</dcterms:modified>
  <cp:category/>
</cp:coreProperties>
</file>