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C7DC6" w14:textId="387052A8" w:rsidR="00E650CF" w:rsidRDefault="00F667E9" w:rsidP="00F667E9">
      <w:pPr>
        <w:pStyle w:val="Heading1"/>
        <w:jc w:val="center"/>
      </w:pPr>
      <w:r>
        <w:t>Tesla Stock Prices EDA</w:t>
      </w:r>
    </w:p>
    <w:p w14:paraId="1F964159" w14:textId="61899597" w:rsidR="00F667E9" w:rsidRPr="00F667E9" w:rsidRDefault="005B209E" w:rsidP="00F667E9">
      <w:pPr>
        <w:pStyle w:val="Heading2"/>
        <w:jc w:val="both"/>
      </w:pPr>
      <w:r>
        <w:rPr>
          <w:noProof/>
        </w:rPr>
        <mc:AlternateContent>
          <mc:Choice Requires="wps">
            <w:drawing>
              <wp:anchor distT="0" distB="0" distL="114300" distR="114300" simplePos="0" relativeHeight="251660288" behindDoc="0" locked="0" layoutInCell="1" allowOverlap="1" wp14:anchorId="115A8930" wp14:editId="62314F67">
                <wp:simplePos x="0" y="0"/>
                <wp:positionH relativeFrom="column">
                  <wp:posOffset>-7620</wp:posOffset>
                </wp:positionH>
                <wp:positionV relativeFrom="paragraph">
                  <wp:posOffset>3651250</wp:posOffset>
                </wp:positionV>
                <wp:extent cx="5693410" cy="220980"/>
                <wp:effectExtent l="0" t="0" r="2540" b="7620"/>
                <wp:wrapTopAndBottom/>
                <wp:docPr id="67806521" name="Text Box 1"/>
                <wp:cNvGraphicFramePr/>
                <a:graphic xmlns:a="http://schemas.openxmlformats.org/drawingml/2006/main">
                  <a:graphicData uri="http://schemas.microsoft.com/office/word/2010/wordprocessingShape">
                    <wps:wsp>
                      <wps:cNvSpPr txBox="1"/>
                      <wps:spPr>
                        <a:xfrm>
                          <a:off x="0" y="0"/>
                          <a:ext cx="5693410" cy="220980"/>
                        </a:xfrm>
                        <a:prstGeom prst="rect">
                          <a:avLst/>
                        </a:prstGeom>
                        <a:solidFill>
                          <a:prstClr val="white"/>
                        </a:solidFill>
                        <a:ln>
                          <a:noFill/>
                        </a:ln>
                      </wps:spPr>
                      <wps:txbx>
                        <w:txbxContent>
                          <w:p w14:paraId="48A775CA" w14:textId="6321486E" w:rsidR="005B209E" w:rsidRPr="005B209E" w:rsidRDefault="005B209E" w:rsidP="005B209E">
                            <w:pPr>
                              <w:pStyle w:val="Caption"/>
                              <w:jc w:val="center"/>
                            </w:pPr>
                            <w:r>
                              <w:t xml:space="preserve">Figure </w:t>
                            </w:r>
                            <w:r>
                              <w:rPr>
                                <w:rFonts w:hint="cs"/>
                                <w:rtl/>
                              </w:rPr>
                              <w:t>1</w:t>
                            </w:r>
                            <w:r>
                              <w:t>,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A8930" id="_x0000_t202" coordsize="21600,21600" o:spt="202" path="m,l,21600r21600,l21600,xe">
                <v:stroke joinstyle="miter"/>
                <v:path gradientshapeok="t" o:connecttype="rect"/>
              </v:shapetype>
              <v:shape id="Text Box 1" o:spid="_x0000_s1026" type="#_x0000_t202" style="position:absolute;left:0;text-align:left;margin-left:-.6pt;margin-top:287.5pt;width:448.3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" stroked="f">
                <v:textbox inset="0,0,0,0">
                  <w:txbxContent>
                    <w:p w14:paraId="48A775CA" w14:textId="6321486E" w:rsidR="005B209E" w:rsidRPr="005B209E" w:rsidRDefault="005B209E" w:rsidP="005B209E">
                      <w:pPr>
                        <w:pStyle w:val="Caption"/>
                        <w:jc w:val="center"/>
                      </w:pPr>
                      <w:r>
                        <w:t xml:space="preserve">Figure </w:t>
                      </w:r>
                      <w:r>
                        <w:rPr>
                          <w:rFonts w:hint="cs"/>
                          <w:rtl/>
                        </w:rPr>
                        <w:t>1</w:t>
                      </w:r>
                      <w:r>
                        <w:t>, correlation matrix.</w:t>
                      </w:r>
                    </w:p>
                  </w:txbxContent>
                </v:textbox>
                <w10:wrap type="topAndBottom"/>
              </v:shape>
            </w:pict>
          </mc:Fallback>
        </mc:AlternateContent>
      </w:r>
      <w:r w:rsidRPr="00F667E9">
        <w:rPr>
          <w:b/>
          <w:bCs/>
          <w:noProof/>
          <w:u w:val="single"/>
        </w:rPr>
        <w:drawing>
          <wp:anchor distT="0" distB="0" distL="114300" distR="114300" simplePos="0" relativeHeight="251658240" behindDoc="0" locked="0" layoutInCell="1" allowOverlap="1" wp14:anchorId="585B469B" wp14:editId="0C5B8645">
            <wp:simplePos x="0" y="0"/>
            <wp:positionH relativeFrom="column">
              <wp:posOffset>-45720</wp:posOffset>
            </wp:positionH>
            <wp:positionV relativeFrom="page">
              <wp:posOffset>2194560</wp:posOffset>
            </wp:positionV>
            <wp:extent cx="5731510" cy="2966720"/>
            <wp:effectExtent l="0" t="0" r="2540" b="5080"/>
            <wp:wrapTopAndBottom/>
            <wp:docPr id="203216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69215" name="Picture 2032169215"/>
                    <pic:cNvPicPr/>
                  </pic:nvPicPr>
                  <pic:blipFill>
                    <a:blip r:embed="rId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00F667E9" w:rsidRPr="00F667E9">
        <w:rPr>
          <w:b/>
          <w:bCs/>
          <w:u w:val="single"/>
        </w:rPr>
        <w:t>Correlation Matrix</w:t>
      </w:r>
      <w:r w:rsidR="00F667E9" w:rsidRPr="00F667E9">
        <w:t xml:space="preserve">, to </w:t>
      </w:r>
      <w:proofErr w:type="gramStart"/>
      <w:r w:rsidR="00F667E9" w:rsidRPr="00F667E9">
        <w:t>understand</w:t>
      </w:r>
      <w:r w:rsidR="00F667E9" w:rsidRPr="00F667E9">
        <w:rPr>
          <w:rFonts w:hint="cs"/>
          <w:rtl/>
        </w:rPr>
        <w:t xml:space="preserve"> </w:t>
      </w:r>
      <w:r w:rsidR="00F667E9" w:rsidRPr="00F667E9">
        <w:t xml:space="preserve"> the</w:t>
      </w:r>
      <w:proofErr w:type="gramEnd"/>
      <w:r w:rsidR="00F667E9" w:rsidRPr="00F667E9">
        <w:t xml:space="preserve"> strength of relationships between data columns:</w:t>
      </w:r>
    </w:p>
    <w:p w14:paraId="270FF658" w14:textId="77777777" w:rsidR="00F667E9" w:rsidRDefault="00F667E9" w:rsidP="00F667E9">
      <w:pPr>
        <w:rPr>
          <w:sz w:val="28"/>
          <w:szCs w:val="28"/>
        </w:rPr>
      </w:pPr>
    </w:p>
    <w:p w14:paraId="4E374C37" w14:textId="26BA0FC1" w:rsidR="00F667E9" w:rsidRDefault="00F667E9" w:rsidP="00F667E9">
      <w:pPr>
        <w:jc w:val="both"/>
        <w:rPr>
          <w:sz w:val="28"/>
          <w:szCs w:val="28"/>
        </w:rPr>
      </w:pPr>
      <w:r w:rsidRPr="00F667E9">
        <w:rPr>
          <w:sz w:val="28"/>
          <w:szCs w:val="28"/>
        </w:rPr>
        <w:t>The correlation matrix shows that all daily price metrics are strongly interrelated, whereas trading volume plays the role of a bystander, showing little connection to price levels. For modeling and report writing, it is recommended to choose a primary price metric (such as closing price) and use trading volume only when interpreting exceptional events.</w:t>
      </w:r>
    </w:p>
    <w:p w14:paraId="21746972" w14:textId="77777777" w:rsidR="00F667E9" w:rsidRDefault="00F667E9" w:rsidP="00F667E9">
      <w:pPr>
        <w:jc w:val="both"/>
        <w:rPr>
          <w:sz w:val="28"/>
          <w:szCs w:val="28"/>
        </w:rPr>
      </w:pPr>
    </w:p>
    <w:p w14:paraId="70CF50A4" w14:textId="77777777" w:rsidR="00F667E9" w:rsidRDefault="00F667E9" w:rsidP="00F667E9">
      <w:pPr>
        <w:jc w:val="both"/>
        <w:rPr>
          <w:sz w:val="28"/>
          <w:szCs w:val="28"/>
        </w:rPr>
      </w:pPr>
    </w:p>
    <w:p w14:paraId="58DE4AFE" w14:textId="77777777" w:rsidR="00F667E9" w:rsidRDefault="00F667E9" w:rsidP="00F667E9">
      <w:pPr>
        <w:jc w:val="both"/>
        <w:rPr>
          <w:sz w:val="28"/>
          <w:szCs w:val="28"/>
        </w:rPr>
      </w:pPr>
    </w:p>
    <w:p w14:paraId="2381F134" w14:textId="77777777" w:rsidR="00F667E9" w:rsidRDefault="00F667E9" w:rsidP="00F667E9">
      <w:pPr>
        <w:jc w:val="both"/>
        <w:rPr>
          <w:sz w:val="28"/>
          <w:szCs w:val="28"/>
        </w:rPr>
      </w:pPr>
    </w:p>
    <w:p w14:paraId="1BE33EEF" w14:textId="77777777" w:rsidR="00F667E9" w:rsidRDefault="00F667E9" w:rsidP="00F667E9">
      <w:pPr>
        <w:jc w:val="both"/>
        <w:rPr>
          <w:sz w:val="28"/>
          <w:szCs w:val="28"/>
        </w:rPr>
      </w:pPr>
    </w:p>
    <w:p w14:paraId="1E0300CF" w14:textId="77777777" w:rsidR="00F667E9" w:rsidRDefault="00F667E9" w:rsidP="00F667E9">
      <w:pPr>
        <w:jc w:val="both"/>
        <w:rPr>
          <w:sz w:val="28"/>
          <w:szCs w:val="28"/>
        </w:rPr>
      </w:pPr>
    </w:p>
    <w:p w14:paraId="3EE75431" w14:textId="77777777" w:rsidR="00F667E9" w:rsidRDefault="00F667E9" w:rsidP="00F667E9">
      <w:pPr>
        <w:jc w:val="both"/>
        <w:rPr>
          <w:sz w:val="28"/>
          <w:szCs w:val="28"/>
        </w:rPr>
      </w:pPr>
    </w:p>
    <w:p w14:paraId="49B6A2A1" w14:textId="77777777" w:rsidR="00F667E9" w:rsidRDefault="00F667E9" w:rsidP="00F667E9">
      <w:pPr>
        <w:jc w:val="both"/>
        <w:rPr>
          <w:sz w:val="28"/>
          <w:szCs w:val="28"/>
        </w:rPr>
      </w:pPr>
    </w:p>
    <w:p w14:paraId="0886AD7C" w14:textId="71870436" w:rsidR="00F667E9" w:rsidRDefault="005B209E" w:rsidP="005B209E">
      <w:pPr>
        <w:pStyle w:val="Heading1"/>
        <w:rPr>
          <w:b/>
          <w:bCs/>
        </w:rPr>
      </w:pPr>
      <w:r w:rsidRPr="005B209E">
        <w:rPr>
          <w:b/>
          <w:bCs/>
        </w:rPr>
        <w:t>Tesla stock price evolution over time</w:t>
      </w:r>
      <w:r>
        <w:rPr>
          <w:b/>
          <w:bCs/>
        </w:rPr>
        <w:t>:</w:t>
      </w:r>
    </w:p>
    <w:p w14:paraId="087289CB" w14:textId="77777777" w:rsidR="005B209E" w:rsidRDefault="005B209E" w:rsidP="005B209E">
      <w:pPr>
        <w:keepNext/>
      </w:pPr>
      <w:r>
        <w:rPr>
          <w:rFonts w:hint="cs"/>
          <w:noProof/>
        </w:rPr>
        <w:drawing>
          <wp:inline distT="0" distB="0" distL="0" distR="0" wp14:anchorId="598E2EA9" wp14:editId="16AA2F6D">
            <wp:extent cx="5731510" cy="2839720"/>
            <wp:effectExtent l="0" t="0" r="2540" b="0"/>
            <wp:docPr id="782294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94234" name="Picture 782294234"/>
                    <pic:cNvPicPr/>
                  </pic:nvPicPr>
                  <pic:blipFill>
                    <a:blip r:embed="rId6">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0489413E" w14:textId="77777777" w:rsidR="005B209E" w:rsidRPr="005B209E" w:rsidRDefault="005B209E" w:rsidP="005B209E">
      <w:pPr>
        <w:pStyle w:val="Caption"/>
        <w:jc w:val="center"/>
      </w:pPr>
      <w:r>
        <w:t xml:space="preserve">Figure 2, </w:t>
      </w:r>
      <w:r w:rsidRPr="005B209E">
        <w:t>Tesla stock price evolution over time.</w:t>
      </w:r>
    </w:p>
    <w:p w14:paraId="43B99722" w14:textId="77777777" w:rsidR="00D755B7" w:rsidRDefault="00D755B7" w:rsidP="00D755B7">
      <w:pPr>
        <w:keepNext/>
        <w:rPr>
          <w:sz w:val="28"/>
          <w:szCs w:val="28"/>
        </w:rPr>
      </w:pPr>
      <w:r w:rsidRPr="00D755B7">
        <w:rPr>
          <w:sz w:val="28"/>
          <w:szCs w:val="28"/>
        </w:rPr>
        <w:t>Figure 2 tracks Tesla stock price evolution over time</w:t>
      </w:r>
      <w:r>
        <w:rPr>
          <w:sz w:val="28"/>
          <w:szCs w:val="28"/>
        </w:rPr>
        <w:t xml:space="preserve"> </w:t>
      </w:r>
      <w:r w:rsidRPr="00D755B7">
        <w:rPr>
          <w:sz w:val="28"/>
          <w:szCs w:val="28"/>
        </w:rPr>
        <w:t>(High, Low, Close) during the period from October 2021 to October 2022, and shows:</w:t>
      </w:r>
    </w:p>
    <w:p w14:paraId="41E7D489" w14:textId="77777777" w:rsidR="00D755B7" w:rsidRPr="00D755B7" w:rsidRDefault="00D755B7" w:rsidP="00D755B7">
      <w:pPr>
        <w:pStyle w:val="ListParagraph"/>
        <w:keepNext/>
        <w:numPr>
          <w:ilvl w:val="0"/>
          <w:numId w:val="2"/>
        </w:numPr>
        <w:jc w:val="both"/>
      </w:pPr>
      <w:r w:rsidRPr="00D755B7">
        <w:t>A strong surge from around $260 to a peak of approximately $415 in November 2021, followed by a correction to around $300 by the end of the year.</w:t>
      </w:r>
    </w:p>
    <w:p w14:paraId="75D155CC" w14:textId="77777777" w:rsidR="00D755B7" w:rsidRPr="00D755B7" w:rsidRDefault="00D755B7" w:rsidP="00D755B7">
      <w:pPr>
        <w:pStyle w:val="ListParagraph"/>
        <w:keepNext/>
        <w:numPr>
          <w:ilvl w:val="0"/>
          <w:numId w:val="2"/>
        </w:numPr>
        <w:jc w:val="both"/>
      </w:pPr>
      <w:r w:rsidRPr="00D755B7">
        <w:t>A significant decline during the first and second quarters of 2022, reaching a low of approximately $210 in May, influenced by global market conditions.</w:t>
      </w:r>
    </w:p>
    <w:p w14:paraId="7AD55EA1" w14:textId="77777777" w:rsidR="00D755B7" w:rsidRDefault="00D755B7" w:rsidP="00D755B7">
      <w:pPr>
        <w:pStyle w:val="ListParagraph"/>
        <w:keepNext/>
        <w:numPr>
          <w:ilvl w:val="0"/>
          <w:numId w:val="2"/>
        </w:numPr>
        <w:jc w:val="both"/>
      </w:pPr>
      <w:r w:rsidRPr="00D755B7">
        <w:t>A gradual recovery during the summer to around $250–260, followed by relative stability around $280–300 by the end of the period.</w:t>
      </w:r>
    </w:p>
    <w:p w14:paraId="131FCF6F" w14:textId="41880BD7" w:rsidR="00D755B7" w:rsidRDefault="00D755B7">
      <w:r>
        <w:br w:type="page"/>
      </w:r>
    </w:p>
    <w:p w14:paraId="1B3B0FC0" w14:textId="3F0BBA78" w:rsidR="00D755B7" w:rsidRDefault="00D755B7" w:rsidP="00E05FEC">
      <w:pPr>
        <w:pStyle w:val="Heading2"/>
        <w:rPr>
          <w:b/>
          <w:bCs/>
        </w:rPr>
      </w:pPr>
      <w:r w:rsidRPr="00E05FEC">
        <w:rPr>
          <w:b/>
          <w:bCs/>
        </w:rPr>
        <w:t>The average monthly closing price of Tesla stock</w:t>
      </w:r>
      <w:r w:rsidR="00E05FEC">
        <w:rPr>
          <w:b/>
          <w:bCs/>
        </w:rPr>
        <w:t>:</w:t>
      </w:r>
    </w:p>
    <w:p w14:paraId="4E3476E2" w14:textId="77777777" w:rsidR="00E05FEC" w:rsidRDefault="00E05FEC" w:rsidP="00E05FEC">
      <w:pPr>
        <w:keepNext/>
      </w:pPr>
      <w:r>
        <w:rPr>
          <w:rFonts w:hint="cs"/>
          <w:noProof/>
        </w:rPr>
        <w:drawing>
          <wp:inline distT="0" distB="0" distL="0" distR="0" wp14:anchorId="78F6790E" wp14:editId="41D8FE65">
            <wp:extent cx="5731510" cy="2434590"/>
            <wp:effectExtent l="0" t="0" r="2540" b="3810"/>
            <wp:docPr id="1843869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69870" name="Picture 18438698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4590"/>
                    </a:xfrm>
                    <a:prstGeom prst="rect">
                      <a:avLst/>
                    </a:prstGeom>
                  </pic:spPr>
                </pic:pic>
              </a:graphicData>
            </a:graphic>
          </wp:inline>
        </w:drawing>
      </w:r>
    </w:p>
    <w:p w14:paraId="74E67C7B" w14:textId="0714C847" w:rsidR="00E05FEC" w:rsidRDefault="00E05FEC" w:rsidP="00E05FEC">
      <w:pPr>
        <w:pStyle w:val="Caption"/>
        <w:jc w:val="center"/>
      </w:pPr>
      <w:r>
        <w:t xml:space="preserve">Figure 3, </w:t>
      </w:r>
      <w:r w:rsidRPr="00E05FEC">
        <w:t>The average monthly closing price of Tesla stock.</w:t>
      </w:r>
    </w:p>
    <w:p w14:paraId="0D763C30" w14:textId="5162B81E" w:rsidR="00E05FEC" w:rsidRDefault="00E05FEC" w:rsidP="00E05FEC">
      <w:pPr>
        <w:jc w:val="both"/>
        <w:rPr>
          <w:sz w:val="28"/>
          <w:szCs w:val="28"/>
        </w:rPr>
      </w:pPr>
      <w:r w:rsidRPr="00E05FEC">
        <w:rPr>
          <w:sz w:val="28"/>
          <w:szCs w:val="28"/>
        </w:rPr>
        <w:t>The average monthly closing price rose sharply at the end of 2021 to around $374 USD, then gradually declined to a low of approximately $234 USD in July 2022, before experiencing a partial recovery and stabilizing around $260–280 USD in the following months.</w:t>
      </w:r>
    </w:p>
    <w:p w14:paraId="533E2D97" w14:textId="77777777" w:rsidR="00E05FEC" w:rsidRDefault="00E05FEC">
      <w:pPr>
        <w:rPr>
          <w:sz w:val="28"/>
          <w:szCs w:val="28"/>
        </w:rPr>
      </w:pPr>
      <w:r>
        <w:rPr>
          <w:sz w:val="28"/>
          <w:szCs w:val="28"/>
        </w:rPr>
        <w:br w:type="page"/>
      </w:r>
    </w:p>
    <w:p w14:paraId="3672137F" w14:textId="00D0CC0A" w:rsidR="00E05FEC" w:rsidRDefault="001F1175" w:rsidP="001F1175">
      <w:pPr>
        <w:pStyle w:val="Heading2"/>
        <w:rPr>
          <w:b/>
          <w:bCs/>
        </w:rPr>
      </w:pPr>
      <w:r w:rsidRPr="001F1175">
        <w:rPr>
          <w:b/>
          <w:bCs/>
        </w:rPr>
        <w:t>Moving Average Crossover Signals (7-day and 30-day):</w:t>
      </w:r>
    </w:p>
    <w:p w14:paraId="79DACD7E" w14:textId="77777777" w:rsidR="001F1175" w:rsidRDefault="001F1175" w:rsidP="001F1175">
      <w:pPr>
        <w:keepNext/>
      </w:pPr>
      <w:r>
        <w:rPr>
          <w:rFonts w:hint="cs"/>
          <w:noProof/>
          <w:rtl/>
          <w:lang w:val="ar-SA"/>
        </w:rPr>
        <w:drawing>
          <wp:inline distT="0" distB="0" distL="0" distR="0" wp14:anchorId="0E78BA34" wp14:editId="40240B79">
            <wp:extent cx="5731510" cy="2847340"/>
            <wp:effectExtent l="0" t="0" r="2540" b="0"/>
            <wp:docPr id="1853735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5575" name="Picture 1853735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06EAD2C8" w14:textId="248336F8" w:rsidR="001F1175" w:rsidRDefault="001F1175" w:rsidP="001F1175">
      <w:pPr>
        <w:pStyle w:val="Caption"/>
        <w:jc w:val="center"/>
      </w:pPr>
      <w:r>
        <w:t xml:space="preserve">Figure 4, </w:t>
      </w:r>
      <w:r w:rsidRPr="001F1175">
        <w:t>Moving Average Crossover Signals (7-day and 30-day)</w:t>
      </w:r>
    </w:p>
    <w:p w14:paraId="58DE1EEB" w14:textId="1CF4A379" w:rsidR="001F1175" w:rsidRDefault="001F1175" w:rsidP="001F1175">
      <w:pPr>
        <w:jc w:val="both"/>
        <w:rPr>
          <w:sz w:val="28"/>
          <w:szCs w:val="28"/>
        </w:rPr>
      </w:pPr>
      <w:r w:rsidRPr="001F1175">
        <w:rPr>
          <w:sz w:val="28"/>
          <w:szCs w:val="28"/>
        </w:rPr>
        <w:t>Figure 4 displays two simple moving average (SMA) lines for short-term and long-term periods (SMA7 and SMA30) plotted over daily closing prices, with markers indicating Golden Cross moments (when SMA7 crosses above SMA30) and Death Cross moments (when SMA7 crosses below SMA30).</w:t>
      </w:r>
    </w:p>
    <w:tbl>
      <w:tblPr>
        <w:tblStyle w:val="TableGrid"/>
        <w:tblW w:w="0" w:type="auto"/>
        <w:tblLook w:val="04A0" w:firstRow="1" w:lastRow="0" w:firstColumn="1" w:lastColumn="0" w:noHBand="0" w:noVBand="1"/>
      </w:tblPr>
      <w:tblGrid>
        <w:gridCol w:w="3005"/>
        <w:gridCol w:w="3005"/>
        <w:gridCol w:w="3006"/>
      </w:tblGrid>
      <w:tr w:rsidR="00967A4C" w14:paraId="78A78DED" w14:textId="77777777">
        <w:tc>
          <w:tcPr>
            <w:tcW w:w="3005" w:type="dxa"/>
          </w:tcPr>
          <w:p w14:paraId="11DEBC39" w14:textId="23705F07" w:rsidR="00967A4C" w:rsidRPr="005763FF" w:rsidRDefault="00967A4C" w:rsidP="00967A4C">
            <w:pPr>
              <w:jc w:val="center"/>
              <w:rPr>
                <w:sz w:val="28"/>
                <w:szCs w:val="28"/>
                <w:highlight w:val="yellow"/>
              </w:rPr>
            </w:pPr>
            <w:r w:rsidRPr="005763FF">
              <w:rPr>
                <w:sz w:val="28"/>
                <w:szCs w:val="28"/>
                <w:highlight w:val="yellow"/>
              </w:rPr>
              <w:t>Crossover type</w:t>
            </w:r>
          </w:p>
        </w:tc>
        <w:tc>
          <w:tcPr>
            <w:tcW w:w="3005" w:type="dxa"/>
          </w:tcPr>
          <w:p w14:paraId="28E7828B" w14:textId="666E3EDD" w:rsidR="00967A4C" w:rsidRPr="005763FF" w:rsidRDefault="00967A4C" w:rsidP="00967A4C">
            <w:pPr>
              <w:jc w:val="center"/>
              <w:rPr>
                <w:sz w:val="28"/>
                <w:szCs w:val="28"/>
                <w:highlight w:val="yellow"/>
              </w:rPr>
            </w:pPr>
            <w:r w:rsidRPr="005763FF">
              <w:rPr>
                <w:sz w:val="28"/>
                <w:szCs w:val="28"/>
                <w:highlight w:val="yellow"/>
              </w:rPr>
              <w:t>Date</w:t>
            </w:r>
          </w:p>
        </w:tc>
        <w:tc>
          <w:tcPr>
            <w:tcW w:w="3006" w:type="dxa"/>
          </w:tcPr>
          <w:p w14:paraId="5487CBF0" w14:textId="17EC063C" w:rsidR="00967A4C" w:rsidRPr="005763FF" w:rsidRDefault="00967A4C" w:rsidP="00967A4C">
            <w:pPr>
              <w:jc w:val="center"/>
              <w:rPr>
                <w:sz w:val="28"/>
                <w:szCs w:val="28"/>
                <w:highlight w:val="yellow"/>
              </w:rPr>
            </w:pPr>
            <w:r w:rsidRPr="005763FF">
              <w:rPr>
                <w:sz w:val="28"/>
                <w:szCs w:val="28"/>
                <w:highlight w:val="yellow"/>
              </w:rPr>
              <w:t xml:space="preserve">Close </w:t>
            </w:r>
            <w:proofErr w:type="gramStart"/>
            <w:r w:rsidRPr="005763FF">
              <w:rPr>
                <w:sz w:val="28"/>
                <w:szCs w:val="28"/>
                <w:highlight w:val="yellow"/>
              </w:rPr>
              <w:t>price(</w:t>
            </w:r>
            <w:proofErr w:type="gramEnd"/>
            <w:r w:rsidRPr="005763FF">
              <w:rPr>
                <w:sz w:val="28"/>
                <w:szCs w:val="28"/>
                <w:highlight w:val="yellow"/>
              </w:rPr>
              <w:t>USD)</w:t>
            </w:r>
          </w:p>
        </w:tc>
      </w:tr>
      <w:tr w:rsidR="00967A4C" w14:paraId="5B68FADC" w14:textId="77777777">
        <w:tc>
          <w:tcPr>
            <w:tcW w:w="3005" w:type="dxa"/>
          </w:tcPr>
          <w:p w14:paraId="4EFCB1D6" w14:textId="48BF537D" w:rsidR="00967A4C" w:rsidRDefault="00967A4C" w:rsidP="00967A4C">
            <w:pPr>
              <w:jc w:val="center"/>
              <w:rPr>
                <w:sz w:val="28"/>
                <w:szCs w:val="28"/>
              </w:rPr>
            </w:pPr>
            <w:r>
              <w:rPr>
                <w:sz w:val="28"/>
                <w:szCs w:val="28"/>
              </w:rPr>
              <w:t>Golden Cross</w:t>
            </w:r>
          </w:p>
        </w:tc>
        <w:tc>
          <w:tcPr>
            <w:tcW w:w="3005" w:type="dxa"/>
          </w:tcPr>
          <w:p w14:paraId="4F3F3895" w14:textId="104D0083" w:rsidR="00967A4C" w:rsidRDefault="00967A4C" w:rsidP="00967A4C">
            <w:pPr>
              <w:jc w:val="center"/>
              <w:rPr>
                <w:sz w:val="28"/>
                <w:szCs w:val="28"/>
              </w:rPr>
            </w:pPr>
            <w:r>
              <w:rPr>
                <w:sz w:val="28"/>
                <w:szCs w:val="28"/>
              </w:rPr>
              <w:t>15</w:t>
            </w:r>
            <w:r w:rsidRPr="00967A4C">
              <w:rPr>
                <w:sz w:val="28"/>
                <w:szCs w:val="28"/>
                <w:vertAlign w:val="superscript"/>
              </w:rPr>
              <w:t>th</w:t>
            </w:r>
            <w:r>
              <w:rPr>
                <w:sz w:val="28"/>
                <w:szCs w:val="28"/>
              </w:rPr>
              <w:t xml:space="preserve"> Nov 2021</w:t>
            </w:r>
          </w:p>
        </w:tc>
        <w:tc>
          <w:tcPr>
            <w:tcW w:w="3006" w:type="dxa"/>
          </w:tcPr>
          <w:p w14:paraId="476A7DCD" w14:textId="32AC3B51" w:rsidR="00967A4C" w:rsidRDefault="00967A4C" w:rsidP="00967A4C">
            <w:pPr>
              <w:jc w:val="center"/>
              <w:rPr>
                <w:sz w:val="28"/>
                <w:szCs w:val="28"/>
              </w:rPr>
            </w:pPr>
            <w:r>
              <w:rPr>
                <w:sz w:val="28"/>
                <w:szCs w:val="28"/>
              </w:rPr>
              <w:t>400</w:t>
            </w:r>
          </w:p>
        </w:tc>
      </w:tr>
      <w:tr w:rsidR="00967A4C" w14:paraId="68619ECB" w14:textId="77777777">
        <w:tc>
          <w:tcPr>
            <w:tcW w:w="3005" w:type="dxa"/>
          </w:tcPr>
          <w:p w14:paraId="656CBE82" w14:textId="556FD3DC" w:rsidR="00967A4C" w:rsidRDefault="00967A4C" w:rsidP="00967A4C">
            <w:pPr>
              <w:jc w:val="center"/>
              <w:rPr>
                <w:sz w:val="28"/>
                <w:szCs w:val="28"/>
              </w:rPr>
            </w:pPr>
            <w:r>
              <w:rPr>
                <w:sz w:val="28"/>
                <w:szCs w:val="28"/>
              </w:rPr>
              <w:t>Death Cross</w:t>
            </w:r>
          </w:p>
        </w:tc>
        <w:tc>
          <w:tcPr>
            <w:tcW w:w="3005" w:type="dxa"/>
          </w:tcPr>
          <w:p w14:paraId="17D57358" w14:textId="00ED7EC1" w:rsidR="00967A4C" w:rsidRDefault="00967A4C" w:rsidP="00967A4C">
            <w:pPr>
              <w:jc w:val="center"/>
              <w:rPr>
                <w:sz w:val="28"/>
                <w:szCs w:val="28"/>
              </w:rPr>
            </w:pPr>
            <w:r>
              <w:rPr>
                <w:sz w:val="28"/>
                <w:szCs w:val="28"/>
              </w:rPr>
              <w:t>10</w:t>
            </w:r>
            <w:r w:rsidRPr="00967A4C">
              <w:rPr>
                <w:sz w:val="28"/>
                <w:szCs w:val="28"/>
                <w:vertAlign w:val="superscript"/>
              </w:rPr>
              <w:t>th</w:t>
            </w:r>
            <w:r>
              <w:rPr>
                <w:sz w:val="28"/>
                <w:szCs w:val="28"/>
              </w:rPr>
              <w:t xml:space="preserve"> Jan 2022</w:t>
            </w:r>
          </w:p>
        </w:tc>
        <w:tc>
          <w:tcPr>
            <w:tcW w:w="3006" w:type="dxa"/>
          </w:tcPr>
          <w:p w14:paraId="72B6C2F1" w14:textId="6470D16E" w:rsidR="00967A4C" w:rsidRDefault="00967A4C" w:rsidP="00967A4C">
            <w:pPr>
              <w:jc w:val="center"/>
              <w:rPr>
                <w:sz w:val="28"/>
                <w:szCs w:val="28"/>
              </w:rPr>
            </w:pPr>
            <w:r>
              <w:rPr>
                <w:sz w:val="28"/>
                <w:szCs w:val="28"/>
              </w:rPr>
              <w:t>310</w:t>
            </w:r>
          </w:p>
        </w:tc>
      </w:tr>
      <w:tr w:rsidR="00967A4C" w14:paraId="7F0B3F26" w14:textId="77777777">
        <w:tc>
          <w:tcPr>
            <w:tcW w:w="3005" w:type="dxa"/>
          </w:tcPr>
          <w:p w14:paraId="0415CCB5" w14:textId="012ECA4A" w:rsidR="00967A4C" w:rsidRDefault="00967A4C" w:rsidP="00967A4C">
            <w:pPr>
              <w:jc w:val="center"/>
              <w:rPr>
                <w:sz w:val="28"/>
                <w:szCs w:val="28"/>
              </w:rPr>
            </w:pPr>
            <w:r>
              <w:rPr>
                <w:sz w:val="28"/>
                <w:szCs w:val="28"/>
              </w:rPr>
              <w:t>Golden Cross</w:t>
            </w:r>
          </w:p>
        </w:tc>
        <w:tc>
          <w:tcPr>
            <w:tcW w:w="3005" w:type="dxa"/>
          </w:tcPr>
          <w:p w14:paraId="535AF200" w14:textId="73B9A628" w:rsidR="00967A4C" w:rsidRDefault="00967A4C" w:rsidP="00967A4C">
            <w:pPr>
              <w:jc w:val="center"/>
              <w:rPr>
                <w:sz w:val="28"/>
                <w:szCs w:val="28"/>
              </w:rPr>
            </w:pPr>
            <w:r>
              <w:rPr>
                <w:sz w:val="28"/>
                <w:szCs w:val="28"/>
              </w:rPr>
              <w:t>5</w:t>
            </w:r>
            <w:r w:rsidRPr="00967A4C">
              <w:rPr>
                <w:sz w:val="28"/>
                <w:szCs w:val="28"/>
                <w:vertAlign w:val="superscript"/>
              </w:rPr>
              <w:t>th</w:t>
            </w:r>
            <w:r>
              <w:rPr>
                <w:sz w:val="28"/>
                <w:szCs w:val="28"/>
              </w:rPr>
              <w:t xml:space="preserve"> Apr 2022</w:t>
            </w:r>
          </w:p>
        </w:tc>
        <w:tc>
          <w:tcPr>
            <w:tcW w:w="3006" w:type="dxa"/>
          </w:tcPr>
          <w:p w14:paraId="6302D752" w14:textId="58BF17A5" w:rsidR="00967A4C" w:rsidRDefault="00967A4C" w:rsidP="00967A4C">
            <w:pPr>
              <w:jc w:val="center"/>
              <w:rPr>
                <w:sz w:val="28"/>
                <w:szCs w:val="28"/>
              </w:rPr>
            </w:pPr>
            <w:r>
              <w:rPr>
                <w:sz w:val="28"/>
                <w:szCs w:val="28"/>
              </w:rPr>
              <w:t>260</w:t>
            </w:r>
          </w:p>
        </w:tc>
      </w:tr>
      <w:tr w:rsidR="00967A4C" w14:paraId="3804647C" w14:textId="77777777">
        <w:tc>
          <w:tcPr>
            <w:tcW w:w="3005" w:type="dxa"/>
          </w:tcPr>
          <w:p w14:paraId="6D829741" w14:textId="50DE021A" w:rsidR="00967A4C" w:rsidRDefault="00967A4C" w:rsidP="00967A4C">
            <w:pPr>
              <w:jc w:val="center"/>
              <w:rPr>
                <w:sz w:val="28"/>
                <w:szCs w:val="28"/>
              </w:rPr>
            </w:pPr>
            <w:r>
              <w:rPr>
                <w:sz w:val="28"/>
                <w:szCs w:val="28"/>
              </w:rPr>
              <w:t>Death Cross</w:t>
            </w:r>
          </w:p>
        </w:tc>
        <w:tc>
          <w:tcPr>
            <w:tcW w:w="3005" w:type="dxa"/>
          </w:tcPr>
          <w:p w14:paraId="45F17B98" w14:textId="2B098132" w:rsidR="00967A4C" w:rsidRDefault="00967A4C" w:rsidP="00967A4C">
            <w:pPr>
              <w:jc w:val="center"/>
              <w:rPr>
                <w:sz w:val="28"/>
                <w:szCs w:val="28"/>
              </w:rPr>
            </w:pPr>
            <w:r>
              <w:rPr>
                <w:sz w:val="28"/>
                <w:szCs w:val="28"/>
              </w:rPr>
              <w:t>20</w:t>
            </w:r>
            <w:r w:rsidRPr="00967A4C">
              <w:rPr>
                <w:sz w:val="28"/>
                <w:szCs w:val="28"/>
                <w:vertAlign w:val="superscript"/>
              </w:rPr>
              <w:t>th</w:t>
            </w:r>
            <w:r>
              <w:rPr>
                <w:sz w:val="28"/>
                <w:szCs w:val="28"/>
              </w:rPr>
              <w:t xml:space="preserve"> May 2022</w:t>
            </w:r>
          </w:p>
        </w:tc>
        <w:tc>
          <w:tcPr>
            <w:tcW w:w="3006" w:type="dxa"/>
          </w:tcPr>
          <w:p w14:paraId="5C1F4E1C" w14:textId="303F4CEF" w:rsidR="00967A4C" w:rsidRDefault="00967A4C" w:rsidP="00967A4C">
            <w:pPr>
              <w:jc w:val="center"/>
              <w:rPr>
                <w:sz w:val="28"/>
                <w:szCs w:val="28"/>
              </w:rPr>
            </w:pPr>
            <w:r>
              <w:rPr>
                <w:sz w:val="28"/>
                <w:szCs w:val="28"/>
              </w:rPr>
              <w:t>220</w:t>
            </w:r>
          </w:p>
        </w:tc>
      </w:tr>
      <w:tr w:rsidR="00967A4C" w14:paraId="03F34B67" w14:textId="77777777">
        <w:tc>
          <w:tcPr>
            <w:tcW w:w="3005" w:type="dxa"/>
          </w:tcPr>
          <w:p w14:paraId="1B8FBA7F" w14:textId="29655609" w:rsidR="00967A4C" w:rsidRDefault="00967A4C" w:rsidP="00967A4C">
            <w:pPr>
              <w:jc w:val="center"/>
              <w:rPr>
                <w:sz w:val="28"/>
                <w:szCs w:val="28"/>
              </w:rPr>
            </w:pPr>
            <w:r>
              <w:rPr>
                <w:sz w:val="28"/>
                <w:szCs w:val="28"/>
              </w:rPr>
              <w:t>Golden Cross</w:t>
            </w:r>
          </w:p>
        </w:tc>
        <w:tc>
          <w:tcPr>
            <w:tcW w:w="3005" w:type="dxa"/>
          </w:tcPr>
          <w:p w14:paraId="73F25E9E" w14:textId="25774990" w:rsidR="00967A4C" w:rsidRDefault="00967A4C" w:rsidP="00967A4C">
            <w:pPr>
              <w:jc w:val="center"/>
              <w:rPr>
                <w:sz w:val="28"/>
                <w:szCs w:val="28"/>
              </w:rPr>
            </w:pPr>
            <w:r>
              <w:rPr>
                <w:sz w:val="28"/>
                <w:szCs w:val="28"/>
              </w:rPr>
              <w:t>1 Aug 2022</w:t>
            </w:r>
          </w:p>
        </w:tc>
        <w:tc>
          <w:tcPr>
            <w:tcW w:w="3006" w:type="dxa"/>
          </w:tcPr>
          <w:p w14:paraId="3424D45A" w14:textId="005DFA27" w:rsidR="00967A4C" w:rsidRDefault="00967A4C" w:rsidP="00967A4C">
            <w:pPr>
              <w:jc w:val="center"/>
              <w:rPr>
                <w:sz w:val="28"/>
                <w:szCs w:val="28"/>
              </w:rPr>
            </w:pPr>
            <w:r>
              <w:rPr>
                <w:sz w:val="28"/>
                <w:szCs w:val="28"/>
              </w:rPr>
              <w:t>280</w:t>
            </w:r>
          </w:p>
        </w:tc>
      </w:tr>
    </w:tbl>
    <w:p w14:paraId="7CB5EAFF" w14:textId="77777777" w:rsidR="001F1175" w:rsidRDefault="001F1175" w:rsidP="001F1175">
      <w:pPr>
        <w:jc w:val="both"/>
        <w:rPr>
          <w:sz w:val="28"/>
          <w:szCs w:val="28"/>
        </w:rPr>
      </w:pPr>
    </w:p>
    <w:p w14:paraId="57C3F50D" w14:textId="77777777" w:rsidR="005763FF" w:rsidRPr="005763FF" w:rsidRDefault="005763FF" w:rsidP="005763FF">
      <w:pPr>
        <w:pStyle w:val="ListParagraph"/>
        <w:numPr>
          <w:ilvl w:val="0"/>
          <w:numId w:val="3"/>
        </w:numPr>
        <w:rPr>
          <w:sz w:val="20"/>
          <w:szCs w:val="20"/>
        </w:rPr>
      </w:pPr>
      <w:r w:rsidRPr="005763FF">
        <w:rPr>
          <w:b/>
          <w:bCs/>
          <w:sz w:val="20"/>
          <w:szCs w:val="20"/>
        </w:rPr>
        <w:t>Golden Cross</w:t>
      </w:r>
      <w:r w:rsidRPr="005763FF">
        <w:rPr>
          <w:sz w:val="20"/>
          <w:szCs w:val="20"/>
        </w:rPr>
        <w:t>: Indicates a short-term shift toward an upward trend, where the price recovers after the short-term moving average breaks above the long-term average.</w:t>
      </w:r>
    </w:p>
    <w:p w14:paraId="139CD283" w14:textId="77777777" w:rsidR="005763FF" w:rsidRPr="005763FF" w:rsidRDefault="005763FF" w:rsidP="005763FF">
      <w:pPr>
        <w:pStyle w:val="ListParagraph"/>
        <w:numPr>
          <w:ilvl w:val="0"/>
          <w:numId w:val="3"/>
        </w:numPr>
        <w:rPr>
          <w:sz w:val="28"/>
          <w:szCs w:val="28"/>
        </w:rPr>
      </w:pPr>
      <w:r w:rsidRPr="005763FF">
        <w:rPr>
          <w:b/>
          <w:bCs/>
          <w:sz w:val="20"/>
          <w:szCs w:val="20"/>
        </w:rPr>
        <w:t>Death Cross</w:t>
      </w:r>
      <w:r w:rsidRPr="005763FF">
        <w:rPr>
          <w:sz w:val="20"/>
          <w:szCs w:val="20"/>
        </w:rPr>
        <w:t>: Suggests a potential start of a downward wave, as the short-term moving average drives the long-term moving average downward.</w:t>
      </w:r>
    </w:p>
    <w:p w14:paraId="5E0A40C7" w14:textId="329A5EB5" w:rsidR="005763FF" w:rsidRDefault="005763FF">
      <w:pPr>
        <w:rPr>
          <w:sz w:val="28"/>
          <w:szCs w:val="28"/>
          <w:rtl/>
        </w:rPr>
      </w:pPr>
      <w:r>
        <w:rPr>
          <w:sz w:val="28"/>
          <w:szCs w:val="28"/>
          <w:rtl/>
        </w:rPr>
        <w:br w:type="page"/>
      </w:r>
    </w:p>
    <w:p w14:paraId="6730255C" w14:textId="504797C1" w:rsidR="005763FF" w:rsidRDefault="005763FF" w:rsidP="005763FF">
      <w:pPr>
        <w:pStyle w:val="Heading2"/>
        <w:jc w:val="both"/>
        <w:rPr>
          <w:b/>
          <w:bCs/>
        </w:rPr>
      </w:pPr>
      <w:r w:rsidRPr="005763FF">
        <w:rPr>
          <w:b/>
          <w:bCs/>
        </w:rPr>
        <w:t>Distribution of Tesla's Daily Returns:</w:t>
      </w:r>
    </w:p>
    <w:p w14:paraId="78E96148" w14:textId="77777777" w:rsidR="005763FF" w:rsidRDefault="005763FF" w:rsidP="005763FF">
      <w:pPr>
        <w:keepNext/>
      </w:pPr>
      <w:r>
        <w:rPr>
          <w:rFonts w:hint="cs"/>
          <w:noProof/>
          <w:rtl/>
          <w:lang w:val="ar-SA"/>
        </w:rPr>
        <w:drawing>
          <wp:inline distT="0" distB="0" distL="0" distR="0" wp14:anchorId="4B816008" wp14:editId="78A7ABA9">
            <wp:extent cx="5731510" cy="2844165"/>
            <wp:effectExtent l="0" t="0" r="2540" b="0"/>
            <wp:docPr id="984863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63412" name="Picture 984863412"/>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8C25D03" w14:textId="4F9E4365" w:rsidR="005763FF" w:rsidRDefault="005763FF" w:rsidP="005763FF">
      <w:pPr>
        <w:pStyle w:val="Caption"/>
        <w:jc w:val="center"/>
      </w:pPr>
      <w:r>
        <w:t xml:space="preserve">Figure 5, </w:t>
      </w:r>
      <w:r w:rsidRPr="005763FF">
        <w:t>Distribution of Tesla's Daily Returns</w:t>
      </w:r>
      <w:r>
        <w:t>.</w:t>
      </w:r>
    </w:p>
    <w:p w14:paraId="7A04A32F" w14:textId="71FC1319" w:rsidR="005763FF" w:rsidRPr="00B8653A" w:rsidRDefault="005763FF" w:rsidP="00B8653A">
      <w:r w:rsidRPr="00B8653A">
        <w:t>Figure 5 presents a histogram of the distribution of daily returns calculated based on the closing price (Close) during the period from October 2021 to October 2022. The data was divided into 50 bins to display the frequency density of different return values.</w:t>
      </w:r>
    </w:p>
    <w:p w14:paraId="03484BA5" w14:textId="4791BD8C" w:rsidR="00B8653A" w:rsidRDefault="00B8653A" w:rsidP="005967E4">
      <w:pPr>
        <w:pStyle w:val="ListParagraph"/>
        <w:numPr>
          <w:ilvl w:val="0"/>
          <w:numId w:val="4"/>
        </w:numPr>
        <w:rPr>
          <w:sz w:val="28"/>
          <w:szCs w:val="28"/>
        </w:rPr>
      </w:pPr>
      <w:r w:rsidRPr="00B8653A">
        <w:rPr>
          <w:sz w:val="28"/>
          <w:szCs w:val="28"/>
        </w:rPr>
        <w:t>Distribution center</w:t>
      </w:r>
      <w:r>
        <w:rPr>
          <w:sz w:val="28"/>
          <w:szCs w:val="28"/>
        </w:rPr>
        <w:t>:</w:t>
      </w:r>
    </w:p>
    <w:p w14:paraId="48AF2FE6" w14:textId="20E30DCA" w:rsidR="00B8653A" w:rsidRDefault="00B8653A" w:rsidP="005967E4">
      <w:pPr>
        <w:pStyle w:val="ListParagraph"/>
        <w:numPr>
          <w:ilvl w:val="0"/>
          <w:numId w:val="5"/>
        </w:numPr>
        <w:rPr>
          <w:sz w:val="28"/>
          <w:szCs w:val="28"/>
        </w:rPr>
      </w:pPr>
      <w:r w:rsidRPr="00B8653A">
        <w:rPr>
          <w:sz w:val="28"/>
          <w:szCs w:val="28"/>
        </w:rPr>
        <w:t>Mean: Approximately 0.001 (0.1%), indicating that the average daily return is slightly positive.</w:t>
      </w:r>
    </w:p>
    <w:p w14:paraId="27666ED6" w14:textId="42D52B4F" w:rsidR="00B8653A" w:rsidRDefault="00B8653A" w:rsidP="005967E4">
      <w:pPr>
        <w:pStyle w:val="ListParagraph"/>
        <w:numPr>
          <w:ilvl w:val="0"/>
          <w:numId w:val="5"/>
        </w:numPr>
        <w:rPr>
          <w:sz w:val="28"/>
          <w:szCs w:val="28"/>
        </w:rPr>
      </w:pPr>
      <w:r w:rsidRPr="00B8653A">
        <w:rPr>
          <w:sz w:val="28"/>
          <w:szCs w:val="28"/>
        </w:rPr>
        <w:t>Median: Very close to the mean, suggesting a relative balance between up and down days.</w:t>
      </w:r>
    </w:p>
    <w:p w14:paraId="53DC848E" w14:textId="0C7021DD" w:rsidR="00B8653A" w:rsidRDefault="00B8653A" w:rsidP="005967E4">
      <w:pPr>
        <w:pStyle w:val="ListParagraph"/>
        <w:numPr>
          <w:ilvl w:val="0"/>
          <w:numId w:val="4"/>
        </w:numPr>
        <w:rPr>
          <w:sz w:val="28"/>
          <w:szCs w:val="28"/>
        </w:rPr>
      </w:pPr>
      <w:r w:rsidRPr="00B8653A">
        <w:rPr>
          <w:sz w:val="28"/>
          <w:szCs w:val="28"/>
        </w:rPr>
        <w:t>Dispersion and standard deviation</w:t>
      </w:r>
      <w:r>
        <w:rPr>
          <w:sz w:val="28"/>
          <w:szCs w:val="28"/>
        </w:rPr>
        <w:t>:</w:t>
      </w:r>
    </w:p>
    <w:p w14:paraId="75A024F6" w14:textId="502B1E64" w:rsidR="00B8653A" w:rsidRDefault="00B8653A" w:rsidP="005967E4">
      <w:pPr>
        <w:pStyle w:val="ListParagraph"/>
        <w:numPr>
          <w:ilvl w:val="0"/>
          <w:numId w:val="6"/>
        </w:numPr>
        <w:rPr>
          <w:sz w:val="28"/>
          <w:szCs w:val="28"/>
        </w:rPr>
      </w:pPr>
      <w:r w:rsidRPr="00B8653A">
        <w:rPr>
          <w:sz w:val="28"/>
          <w:szCs w:val="28"/>
        </w:rPr>
        <w:t>Standard deviation: Approximately 0.025 (2.5%), reflecting moderate to relatively high daily volatility.</w:t>
      </w:r>
    </w:p>
    <w:p w14:paraId="3F05CE84" w14:textId="6ABA691F" w:rsidR="00B8653A" w:rsidRDefault="00B8653A" w:rsidP="005967E4">
      <w:pPr>
        <w:pStyle w:val="ListParagraph"/>
        <w:numPr>
          <w:ilvl w:val="0"/>
          <w:numId w:val="6"/>
        </w:numPr>
        <w:rPr>
          <w:sz w:val="28"/>
          <w:szCs w:val="28"/>
        </w:rPr>
      </w:pPr>
      <w:r w:rsidRPr="00B8653A">
        <w:rPr>
          <w:sz w:val="28"/>
          <w:szCs w:val="28"/>
        </w:rPr>
        <w:t>Half of the periods (between the first and third quartiles) fall within a relatively narrow volatility range around the mean.</w:t>
      </w:r>
    </w:p>
    <w:p w14:paraId="4C418D3F" w14:textId="157CEFD6" w:rsidR="00B8653A" w:rsidRDefault="00B8653A" w:rsidP="005967E4">
      <w:pPr>
        <w:pStyle w:val="ListParagraph"/>
        <w:numPr>
          <w:ilvl w:val="0"/>
          <w:numId w:val="4"/>
        </w:numPr>
        <w:rPr>
          <w:sz w:val="28"/>
          <w:szCs w:val="28"/>
        </w:rPr>
      </w:pPr>
      <w:r>
        <w:rPr>
          <w:sz w:val="28"/>
          <w:szCs w:val="28"/>
        </w:rPr>
        <w:t>Tails:</w:t>
      </w:r>
    </w:p>
    <w:p w14:paraId="0D9FBCD2" w14:textId="0007A3AF" w:rsidR="00B8653A" w:rsidRDefault="00B8653A" w:rsidP="005967E4">
      <w:pPr>
        <w:pStyle w:val="ListParagraph"/>
        <w:numPr>
          <w:ilvl w:val="0"/>
          <w:numId w:val="7"/>
        </w:numPr>
        <w:rPr>
          <w:sz w:val="28"/>
          <w:szCs w:val="28"/>
        </w:rPr>
      </w:pPr>
      <w:r w:rsidRPr="00B8653A">
        <w:rPr>
          <w:sz w:val="28"/>
          <w:szCs w:val="28"/>
        </w:rPr>
        <w:t>The distribution shows longer side tails than a normal distribution, particularly on the negative side:</w:t>
      </w:r>
    </w:p>
    <w:p w14:paraId="00360548" w14:textId="18331960" w:rsidR="00B8653A" w:rsidRDefault="00B8653A" w:rsidP="005967E4">
      <w:pPr>
        <w:pStyle w:val="ListParagraph"/>
        <w:numPr>
          <w:ilvl w:val="0"/>
          <w:numId w:val="7"/>
        </w:numPr>
        <w:rPr>
          <w:sz w:val="28"/>
          <w:szCs w:val="28"/>
        </w:rPr>
      </w:pPr>
      <w:r w:rsidRPr="00B8653A">
        <w:rPr>
          <w:sz w:val="28"/>
          <w:szCs w:val="28"/>
        </w:rPr>
        <w:t>Large negative return days (less than –5%) are more extreme than comparable positive days.</w:t>
      </w:r>
    </w:p>
    <w:p w14:paraId="5597E708" w14:textId="6DBF7862" w:rsidR="005967E4" w:rsidRDefault="00B8653A" w:rsidP="005967E4">
      <w:pPr>
        <w:pStyle w:val="ListParagraph"/>
        <w:numPr>
          <w:ilvl w:val="0"/>
          <w:numId w:val="7"/>
        </w:numPr>
        <w:rPr>
          <w:sz w:val="28"/>
          <w:szCs w:val="28"/>
        </w:rPr>
      </w:pPr>
      <w:r w:rsidRPr="00B8653A">
        <w:rPr>
          <w:sz w:val="28"/>
          <w:szCs w:val="28"/>
        </w:rPr>
        <w:t>This suggests a higher likelihood of sudden sharp downturns compared to unexpected upswings.</w:t>
      </w:r>
    </w:p>
    <w:p w14:paraId="1B672685" w14:textId="7BE699F2" w:rsidR="005967E4" w:rsidRDefault="005967E4" w:rsidP="005967E4">
      <w:pPr>
        <w:pStyle w:val="ListParagraph"/>
        <w:numPr>
          <w:ilvl w:val="0"/>
          <w:numId w:val="4"/>
        </w:numPr>
        <w:rPr>
          <w:sz w:val="28"/>
          <w:szCs w:val="28"/>
        </w:rPr>
      </w:pPr>
      <w:r>
        <w:rPr>
          <w:sz w:val="28"/>
          <w:szCs w:val="28"/>
        </w:rPr>
        <w:t>General overview:</w:t>
      </w:r>
    </w:p>
    <w:p w14:paraId="77F5BDF5" w14:textId="1952A1DE" w:rsidR="005967E4" w:rsidRDefault="005967E4" w:rsidP="005967E4">
      <w:pPr>
        <w:pStyle w:val="ListParagraph"/>
        <w:numPr>
          <w:ilvl w:val="0"/>
          <w:numId w:val="8"/>
        </w:numPr>
        <w:rPr>
          <w:sz w:val="28"/>
          <w:szCs w:val="28"/>
        </w:rPr>
      </w:pPr>
      <w:r w:rsidRPr="005967E4">
        <w:rPr>
          <w:sz w:val="28"/>
          <w:szCs w:val="28"/>
        </w:rPr>
        <w:t>The distribution clustering around zero indicates that the market doesn't tend toward extreme daily rises or falls, except during exceptional events (earnings reports, official announcements).</w:t>
      </w:r>
    </w:p>
    <w:p w14:paraId="234C1872" w14:textId="6A69D637" w:rsidR="005967E4" w:rsidRDefault="005967E4" w:rsidP="005967E4">
      <w:pPr>
        <w:pStyle w:val="ListParagraph"/>
        <w:numPr>
          <w:ilvl w:val="0"/>
          <w:numId w:val="8"/>
        </w:numPr>
        <w:rPr>
          <w:sz w:val="28"/>
          <w:szCs w:val="28"/>
        </w:rPr>
      </w:pPr>
      <w:r w:rsidRPr="005967E4">
        <w:rPr>
          <w:sz w:val="28"/>
          <w:szCs w:val="28"/>
        </w:rPr>
        <w:t>A slight rightward (positive) skew aligns with the mildly positive average daily return.</w:t>
      </w:r>
    </w:p>
    <w:p w14:paraId="639F5A37" w14:textId="1EE9D28B" w:rsidR="005967E4" w:rsidRDefault="005967E4" w:rsidP="005967E4">
      <w:pPr>
        <w:pStyle w:val="ListParagraph"/>
        <w:numPr>
          <w:ilvl w:val="0"/>
          <w:numId w:val="4"/>
        </w:numPr>
        <w:jc w:val="both"/>
        <w:rPr>
          <w:sz w:val="28"/>
          <w:szCs w:val="28"/>
        </w:rPr>
      </w:pPr>
      <w:r>
        <w:rPr>
          <w:sz w:val="28"/>
          <w:szCs w:val="28"/>
        </w:rPr>
        <w:t>Summary:</w:t>
      </w:r>
    </w:p>
    <w:p w14:paraId="08B5D955" w14:textId="2B5F37AE" w:rsidR="005967E4" w:rsidRDefault="005967E4" w:rsidP="005967E4">
      <w:pPr>
        <w:pStyle w:val="ListParagraph"/>
        <w:numPr>
          <w:ilvl w:val="0"/>
          <w:numId w:val="9"/>
        </w:numPr>
        <w:jc w:val="both"/>
        <w:rPr>
          <w:sz w:val="28"/>
          <w:szCs w:val="28"/>
        </w:rPr>
      </w:pPr>
      <w:r w:rsidRPr="005967E4">
        <w:rPr>
          <w:sz w:val="28"/>
          <w:szCs w:val="28"/>
        </w:rPr>
        <w:t>The daily return distribution centers around 0.1% with a standard deviation of 2.5%, showing longer downside tails compared to upside ones, indicating a higher likelihood of sharp downturns than sudden upswings.</w:t>
      </w:r>
    </w:p>
    <w:p w14:paraId="1887C362" w14:textId="75D315A1" w:rsidR="005967E4" w:rsidRDefault="005967E4">
      <w:pPr>
        <w:rPr>
          <w:sz w:val="28"/>
          <w:szCs w:val="28"/>
        </w:rPr>
      </w:pPr>
      <w:r>
        <w:rPr>
          <w:sz w:val="28"/>
          <w:szCs w:val="28"/>
        </w:rPr>
        <w:br w:type="page"/>
      </w:r>
    </w:p>
    <w:p w14:paraId="3DF1C477" w14:textId="060E2776" w:rsidR="005967E4" w:rsidRDefault="005967E4" w:rsidP="005967E4">
      <w:pPr>
        <w:pStyle w:val="Heading2"/>
        <w:jc w:val="both"/>
        <w:rPr>
          <w:b/>
          <w:bCs/>
        </w:rPr>
      </w:pPr>
      <w:r w:rsidRPr="005967E4">
        <w:rPr>
          <w:b/>
          <w:bCs/>
        </w:rPr>
        <w:t>The evolution of Tesla's daily trading volume</w:t>
      </w:r>
      <w:r>
        <w:rPr>
          <w:b/>
          <w:bCs/>
        </w:rPr>
        <w:t>:</w:t>
      </w:r>
    </w:p>
    <w:p w14:paraId="4F1C165F" w14:textId="77777777" w:rsidR="003E1AA1" w:rsidRDefault="005967E4" w:rsidP="003E1AA1">
      <w:pPr>
        <w:keepNext/>
      </w:pPr>
      <w:r>
        <w:rPr>
          <w:noProof/>
        </w:rPr>
        <w:drawing>
          <wp:inline distT="0" distB="0" distL="0" distR="0" wp14:anchorId="36721B8B" wp14:editId="3B261C9A">
            <wp:extent cx="5731510" cy="2434590"/>
            <wp:effectExtent l="0" t="0" r="2540" b="3810"/>
            <wp:docPr id="1186297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7191" name="Picture 11862971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34590"/>
                    </a:xfrm>
                    <a:prstGeom prst="rect">
                      <a:avLst/>
                    </a:prstGeom>
                  </pic:spPr>
                </pic:pic>
              </a:graphicData>
            </a:graphic>
          </wp:inline>
        </w:drawing>
      </w:r>
    </w:p>
    <w:p w14:paraId="44973AA4" w14:textId="7B954C86" w:rsidR="005967E4" w:rsidRDefault="003E1AA1" w:rsidP="003E1AA1">
      <w:pPr>
        <w:pStyle w:val="Caption"/>
        <w:jc w:val="center"/>
      </w:pPr>
      <w:r>
        <w:t xml:space="preserve">Figure 6, </w:t>
      </w:r>
      <w:r w:rsidRPr="003E1AA1">
        <w:t>The evolution of Tesla's daily trading volume</w:t>
      </w:r>
      <w:r>
        <w:t>.</w:t>
      </w:r>
    </w:p>
    <w:p w14:paraId="5A0B94F4" w14:textId="4F3ABDC1" w:rsidR="003E1AA1" w:rsidRDefault="003E1AA1" w:rsidP="003E1AA1">
      <w:pPr>
        <w:tabs>
          <w:tab w:val="left" w:pos="6408"/>
        </w:tabs>
      </w:pPr>
      <w:r w:rsidRPr="003E1AA1">
        <w:t>Figure 6 displays the curve of daily trading volume during the period from October 2021 to October 2022, with the time axis plotted horizontally and the number of shares traded daily (in millions) plotted vertically.</w:t>
      </w:r>
    </w:p>
    <w:p w14:paraId="28A2068E" w14:textId="33B67AEB" w:rsidR="003E1AA1" w:rsidRPr="003E1AA1" w:rsidRDefault="003E1AA1" w:rsidP="003E1AA1">
      <w:pPr>
        <w:pStyle w:val="ListParagraph"/>
        <w:numPr>
          <w:ilvl w:val="0"/>
          <w:numId w:val="10"/>
        </w:numPr>
        <w:tabs>
          <w:tab w:val="left" w:pos="6408"/>
        </w:tabs>
        <w:rPr>
          <w:b/>
          <w:bCs/>
        </w:rPr>
      </w:pPr>
      <w:r w:rsidRPr="003E1AA1">
        <w:rPr>
          <w:b/>
          <w:bCs/>
        </w:rPr>
        <w:t>General Average:</w:t>
      </w:r>
    </w:p>
    <w:p w14:paraId="3755B153" w14:textId="5A7818E9" w:rsidR="003E1AA1" w:rsidRDefault="003E1AA1" w:rsidP="003E1AA1">
      <w:pPr>
        <w:pStyle w:val="ListParagraph"/>
        <w:numPr>
          <w:ilvl w:val="0"/>
          <w:numId w:val="9"/>
        </w:numPr>
        <w:tabs>
          <w:tab w:val="left" w:pos="6408"/>
        </w:tabs>
      </w:pPr>
      <w:r w:rsidRPr="003E1AA1">
        <w:t>Average daily trading volume: approximately 80 million shares. This level represents the baseline around which most values fluctuate, with slight increases and decreases.</w:t>
      </w:r>
    </w:p>
    <w:p w14:paraId="43B2DD0A" w14:textId="2792BC4E" w:rsidR="003E1AA1" w:rsidRDefault="003E1AA1" w:rsidP="003E1AA1">
      <w:pPr>
        <w:pStyle w:val="ListParagraph"/>
        <w:numPr>
          <w:ilvl w:val="0"/>
          <w:numId w:val="10"/>
        </w:numPr>
        <w:tabs>
          <w:tab w:val="left" w:pos="6408"/>
        </w:tabs>
      </w:pPr>
      <w:r w:rsidRPr="003E1AA1">
        <w:rPr>
          <w:b/>
          <w:bCs/>
          <w:u w:val="single"/>
        </w:rPr>
        <w:t>Major Trading Peaks</w:t>
      </w:r>
      <w:r w:rsidRPr="003E1AA1">
        <w:t xml:space="preserve"> Several notable peaks exceeding 150 million shares traded in a single day were observed, including:</w:t>
      </w:r>
    </w:p>
    <w:p w14:paraId="3DE962A8" w14:textId="1F6114A7" w:rsidR="003E1AA1" w:rsidRDefault="003E1AA1" w:rsidP="003E1AA1">
      <w:pPr>
        <w:pStyle w:val="ListParagraph"/>
        <w:numPr>
          <w:ilvl w:val="0"/>
          <w:numId w:val="9"/>
        </w:numPr>
        <w:tabs>
          <w:tab w:val="left" w:pos="6408"/>
        </w:tabs>
      </w:pPr>
      <w:r w:rsidRPr="003E1AA1">
        <w:rPr>
          <w:b/>
          <w:bCs/>
        </w:rPr>
        <w:t>Late October 2021</w:t>
      </w:r>
      <w:r w:rsidRPr="003E1AA1">
        <w:t>: Coincided with the announcement of Q3 results and the expansion of the Berlin factory.</w:t>
      </w:r>
    </w:p>
    <w:p w14:paraId="543234BB" w14:textId="53B532C1" w:rsidR="003E1AA1" w:rsidRDefault="003E1AA1" w:rsidP="003E1AA1">
      <w:pPr>
        <w:pStyle w:val="ListParagraph"/>
        <w:numPr>
          <w:ilvl w:val="0"/>
          <w:numId w:val="9"/>
        </w:numPr>
        <w:tabs>
          <w:tab w:val="left" w:pos="6408"/>
        </w:tabs>
      </w:pPr>
      <w:r w:rsidRPr="003E1AA1">
        <w:rPr>
          <w:b/>
          <w:bCs/>
        </w:rPr>
        <w:t>November 2021</w:t>
      </w:r>
      <w:r w:rsidRPr="003E1AA1">
        <w:t>: A strong buying wave led to a price peak, accompanied by heightened trading activity.</w:t>
      </w:r>
    </w:p>
    <w:p w14:paraId="2DD230A1" w14:textId="1CC4AD64" w:rsidR="003E1AA1" w:rsidRDefault="003E1AA1" w:rsidP="003E1AA1">
      <w:pPr>
        <w:pStyle w:val="ListParagraph"/>
        <w:numPr>
          <w:ilvl w:val="0"/>
          <w:numId w:val="9"/>
        </w:numPr>
        <w:tabs>
          <w:tab w:val="left" w:pos="6408"/>
        </w:tabs>
      </w:pPr>
      <w:r w:rsidRPr="003E1AA1">
        <w:rPr>
          <w:b/>
          <w:bCs/>
        </w:rPr>
        <w:t>May 2022</w:t>
      </w:r>
      <w:r w:rsidRPr="003E1AA1">
        <w:t>: Marked by a price peak followed by a correction, during which investors engaged in significant profit-taking.</w:t>
      </w:r>
    </w:p>
    <w:p w14:paraId="70976C56" w14:textId="255ABA78" w:rsidR="003E1AA1" w:rsidRDefault="003E1AA1" w:rsidP="003E1AA1">
      <w:pPr>
        <w:pStyle w:val="ListParagraph"/>
        <w:numPr>
          <w:ilvl w:val="0"/>
          <w:numId w:val="10"/>
        </w:numPr>
        <w:tabs>
          <w:tab w:val="left" w:pos="6408"/>
        </w:tabs>
        <w:rPr>
          <w:b/>
          <w:bCs/>
        </w:rPr>
      </w:pPr>
      <w:r w:rsidRPr="003E1AA1">
        <w:rPr>
          <w:b/>
          <w:bCs/>
        </w:rPr>
        <w:t>Quiet Periods:</w:t>
      </w:r>
    </w:p>
    <w:p w14:paraId="213F9DA2" w14:textId="5E67630D" w:rsidR="003E1AA1" w:rsidRDefault="003E1AA1" w:rsidP="003E1AA1">
      <w:pPr>
        <w:pStyle w:val="ListParagraph"/>
        <w:numPr>
          <w:ilvl w:val="0"/>
          <w:numId w:val="11"/>
        </w:numPr>
        <w:tabs>
          <w:tab w:val="left" w:pos="6408"/>
        </w:tabs>
        <w:rPr>
          <w:b/>
          <w:bCs/>
        </w:rPr>
      </w:pPr>
      <w:r w:rsidRPr="003E1AA1">
        <w:rPr>
          <w:b/>
          <w:bCs/>
        </w:rPr>
        <w:t>During the summer (June–August 2022), trading volume declined slightly, ranging between 50–70 million shares per day. This was accompanied by a decrease in speculative activity and a stronger focus on production data.</w:t>
      </w:r>
    </w:p>
    <w:p w14:paraId="36412B61" w14:textId="44B147A2" w:rsidR="003E1AA1" w:rsidRDefault="003E1AA1" w:rsidP="003E1AA1">
      <w:pPr>
        <w:pStyle w:val="ListParagraph"/>
        <w:numPr>
          <w:ilvl w:val="0"/>
          <w:numId w:val="11"/>
        </w:numPr>
        <w:tabs>
          <w:tab w:val="left" w:pos="6408"/>
        </w:tabs>
        <w:rPr>
          <w:b/>
          <w:bCs/>
        </w:rPr>
      </w:pPr>
      <w:r w:rsidRPr="003E1AA1">
        <w:rPr>
          <w:b/>
          <w:bCs/>
        </w:rPr>
        <w:t>This drop reflects a relatively stable phase in trading momentum.</w:t>
      </w:r>
    </w:p>
    <w:p w14:paraId="70EC0B68" w14:textId="4A228FF7" w:rsidR="003E1AA1" w:rsidRPr="003E1AA1" w:rsidRDefault="003E1AA1" w:rsidP="003E1AA1">
      <w:pPr>
        <w:pStyle w:val="ListParagraph"/>
        <w:numPr>
          <w:ilvl w:val="0"/>
          <w:numId w:val="10"/>
        </w:numPr>
        <w:tabs>
          <w:tab w:val="left" w:pos="6408"/>
        </w:tabs>
        <w:rPr>
          <w:b/>
          <w:bCs/>
          <w:u w:val="single"/>
        </w:rPr>
      </w:pPr>
      <w:r w:rsidRPr="003E1AA1">
        <w:rPr>
          <w:b/>
          <w:bCs/>
          <w:u w:val="single"/>
        </w:rPr>
        <w:t>Seasonal Volatility:</w:t>
      </w:r>
    </w:p>
    <w:p w14:paraId="4DD1768E" w14:textId="703D072B" w:rsidR="003E1AA1" w:rsidRDefault="003E1AA1" w:rsidP="003E1AA1">
      <w:pPr>
        <w:pStyle w:val="ListParagraph"/>
        <w:numPr>
          <w:ilvl w:val="0"/>
          <w:numId w:val="12"/>
        </w:numPr>
        <w:tabs>
          <w:tab w:val="left" w:pos="6408"/>
        </w:tabs>
        <w:rPr>
          <w:b/>
          <w:bCs/>
        </w:rPr>
      </w:pPr>
      <w:r w:rsidRPr="003E1AA1">
        <w:rPr>
          <w:b/>
          <w:bCs/>
        </w:rPr>
        <w:t>Recurring Pattern A sharp increase in volume often occurs upon the release of financial news or earnings calls, followed by a gradual decline.</w:t>
      </w:r>
    </w:p>
    <w:p w14:paraId="7310E150" w14:textId="22A13DC5" w:rsidR="003E1AA1" w:rsidRDefault="003E1AA1" w:rsidP="003E1AA1">
      <w:pPr>
        <w:pStyle w:val="ListParagraph"/>
        <w:numPr>
          <w:ilvl w:val="0"/>
          <w:numId w:val="12"/>
        </w:numPr>
        <w:tabs>
          <w:tab w:val="left" w:pos="6408"/>
        </w:tabs>
        <w:rPr>
          <w:b/>
          <w:bCs/>
        </w:rPr>
      </w:pPr>
      <w:r w:rsidRPr="003E1AA1">
        <w:rPr>
          <w:b/>
          <w:bCs/>
        </w:rPr>
        <w:t xml:space="preserve">Relationship with Volatility High-volume days </w:t>
      </w:r>
      <w:proofErr w:type="gramStart"/>
      <w:r w:rsidRPr="003E1AA1">
        <w:rPr>
          <w:b/>
          <w:bCs/>
        </w:rPr>
        <w:t>are</w:t>
      </w:r>
      <w:proofErr w:type="gramEnd"/>
      <w:r w:rsidRPr="003E1AA1">
        <w:rPr>
          <w:b/>
          <w:bCs/>
        </w:rPr>
        <w:t xml:space="preserve"> frequently accompanied by significant price surges or drops (as observed in the return distribution), underscoring volume’s role as an indicator of event intensity.</w:t>
      </w:r>
    </w:p>
    <w:p w14:paraId="218F176F" w14:textId="5E367D55" w:rsidR="003E1AA1" w:rsidRDefault="003E1AA1" w:rsidP="003E1AA1">
      <w:pPr>
        <w:pStyle w:val="ListParagraph"/>
        <w:numPr>
          <w:ilvl w:val="0"/>
          <w:numId w:val="10"/>
        </w:numPr>
        <w:tabs>
          <w:tab w:val="left" w:pos="6408"/>
        </w:tabs>
        <w:rPr>
          <w:b/>
          <w:bCs/>
        </w:rPr>
      </w:pPr>
      <w:r>
        <w:rPr>
          <w:b/>
          <w:bCs/>
        </w:rPr>
        <w:t>Summary:</w:t>
      </w:r>
    </w:p>
    <w:p w14:paraId="384FCA6B" w14:textId="10F5629D" w:rsidR="003E1AA1" w:rsidRDefault="003E1AA1" w:rsidP="003E1AA1">
      <w:pPr>
        <w:pStyle w:val="ListParagraph"/>
        <w:numPr>
          <w:ilvl w:val="0"/>
          <w:numId w:val="13"/>
        </w:numPr>
        <w:tabs>
          <w:tab w:val="left" w:pos="6408"/>
        </w:tabs>
        <w:rPr>
          <w:b/>
          <w:bCs/>
        </w:rPr>
      </w:pPr>
      <w:r w:rsidRPr="003E1AA1">
        <w:rPr>
          <w:b/>
          <w:bCs/>
        </w:rPr>
        <w:t>Figure 6 shows that the average daily trading volume centers around ~80 million shares, with peaks exceeding 150 million on days of major announcements and profit-taking. Activity declines during the summer to 50–70 million shares, reflecting seasonal slowdown, while high volume is typically associated with strong price movements.</w:t>
      </w:r>
    </w:p>
    <w:p w14:paraId="30D4CDD8" w14:textId="77777777" w:rsidR="003E1AA1" w:rsidRDefault="003E1AA1">
      <w:pPr>
        <w:rPr>
          <w:b/>
          <w:bCs/>
        </w:rPr>
      </w:pPr>
      <w:r>
        <w:rPr>
          <w:b/>
          <w:bCs/>
        </w:rPr>
        <w:br w:type="page"/>
      </w:r>
    </w:p>
    <w:p w14:paraId="6908C834" w14:textId="60794B5F" w:rsidR="003E1AA1" w:rsidRDefault="00AC2567" w:rsidP="00AC2567">
      <w:pPr>
        <w:pStyle w:val="Heading2"/>
        <w:jc w:val="both"/>
        <w:rPr>
          <w:b/>
          <w:bCs/>
        </w:rPr>
      </w:pPr>
      <w:r w:rsidRPr="00AC2567">
        <w:rPr>
          <w:b/>
          <w:bCs/>
        </w:rPr>
        <w:t>30</w:t>
      </w:r>
      <w:r w:rsidRPr="00AC2567">
        <w:rPr>
          <w:b/>
          <w:bCs/>
        </w:rPr>
        <w:noBreakHyphen/>
        <w:t>Day Rolling Volatility of Tesla’s Closing Price</w:t>
      </w:r>
      <w:r>
        <w:rPr>
          <w:b/>
          <w:bCs/>
        </w:rPr>
        <w:t>:</w:t>
      </w:r>
    </w:p>
    <w:p w14:paraId="54858C22" w14:textId="77777777" w:rsidR="00AC2567" w:rsidRDefault="00AC2567" w:rsidP="00AC2567">
      <w:pPr>
        <w:keepNext/>
      </w:pPr>
      <w:r>
        <w:rPr>
          <w:rFonts w:hint="cs"/>
          <w:noProof/>
          <w:rtl/>
          <w:lang w:val="ar-SA"/>
        </w:rPr>
        <w:drawing>
          <wp:inline distT="0" distB="0" distL="0" distR="0" wp14:anchorId="420AB5C9" wp14:editId="29C30F13">
            <wp:extent cx="5731510" cy="2434590"/>
            <wp:effectExtent l="0" t="0" r="2540" b="3810"/>
            <wp:docPr id="767066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66816" name="Picture 7670668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4590"/>
                    </a:xfrm>
                    <a:prstGeom prst="rect">
                      <a:avLst/>
                    </a:prstGeom>
                  </pic:spPr>
                </pic:pic>
              </a:graphicData>
            </a:graphic>
          </wp:inline>
        </w:drawing>
      </w:r>
    </w:p>
    <w:p w14:paraId="1B756E2C" w14:textId="5BDA168C" w:rsidR="00AC2567" w:rsidRPr="00AC2567" w:rsidRDefault="00AC2567" w:rsidP="00AC2567">
      <w:pPr>
        <w:pStyle w:val="Caption"/>
        <w:jc w:val="center"/>
      </w:pPr>
      <w:r>
        <w:t xml:space="preserve">Figure 7, </w:t>
      </w:r>
      <w:r w:rsidRPr="00AC2567">
        <w:rPr>
          <w:b/>
          <w:bCs/>
        </w:rPr>
        <w:t>30</w:t>
      </w:r>
      <w:r w:rsidRPr="00AC2567">
        <w:rPr>
          <w:b/>
          <w:bCs/>
        </w:rPr>
        <w:noBreakHyphen/>
        <w:t>Day Rolling Volatility of Tesla’s Closing Price</w:t>
      </w:r>
    </w:p>
    <w:p w14:paraId="797F46A9" w14:textId="68F1B339" w:rsidR="00AC2567" w:rsidRDefault="00AC2567" w:rsidP="00AC2567">
      <w:pPr>
        <w:rPr>
          <w:sz w:val="28"/>
          <w:szCs w:val="28"/>
        </w:rPr>
      </w:pPr>
      <w:r w:rsidRPr="00AC2567">
        <w:rPr>
          <w:sz w:val="28"/>
          <w:szCs w:val="28"/>
        </w:rPr>
        <w:t>Figure 7 plots the rolling 30</w:t>
      </w:r>
      <w:r w:rsidRPr="00AC2567">
        <w:rPr>
          <w:sz w:val="28"/>
          <w:szCs w:val="28"/>
        </w:rPr>
        <w:noBreakHyphen/>
        <w:t>day volatility of Tesla’s daily closing returns over the period from October 2021 to October 2022. Volatility here is defined as the standard deviation of daily returns over the prior 30 trading days, indicating how much the stock price typically fluctuates month</w:t>
      </w:r>
      <w:r w:rsidRPr="00AC2567">
        <w:rPr>
          <w:sz w:val="28"/>
          <w:szCs w:val="28"/>
        </w:rPr>
        <w:noBreakHyphen/>
        <w:t>to</w:t>
      </w:r>
      <w:r w:rsidRPr="00AC2567">
        <w:rPr>
          <w:sz w:val="28"/>
          <w:szCs w:val="28"/>
        </w:rPr>
        <w:noBreakHyphen/>
        <w:t>month.</w:t>
      </w:r>
    </w:p>
    <w:p w14:paraId="0296A353" w14:textId="502DA5CC" w:rsidR="00AC2567" w:rsidRDefault="00AC2567" w:rsidP="00AC2567">
      <w:pPr>
        <w:pStyle w:val="ListParagraph"/>
        <w:numPr>
          <w:ilvl w:val="0"/>
          <w:numId w:val="14"/>
        </w:numPr>
        <w:rPr>
          <w:b/>
          <w:bCs/>
          <w:sz w:val="28"/>
          <w:szCs w:val="28"/>
        </w:rPr>
      </w:pPr>
      <w:r w:rsidRPr="00AC2567">
        <w:rPr>
          <w:b/>
          <w:bCs/>
          <w:sz w:val="28"/>
          <w:szCs w:val="28"/>
        </w:rPr>
        <w:t>Overall Volatility Level:</w:t>
      </w:r>
    </w:p>
    <w:p w14:paraId="297E9287" w14:textId="604FC023" w:rsidR="00AC2567" w:rsidRPr="00540D68" w:rsidRDefault="00AC2567" w:rsidP="00AC2567">
      <w:pPr>
        <w:pStyle w:val="ListParagraph"/>
        <w:numPr>
          <w:ilvl w:val="0"/>
          <w:numId w:val="13"/>
        </w:numPr>
      </w:pPr>
      <w:r w:rsidRPr="00540D68">
        <w:t>Annualized Volatility Estimate: By scaling the average 30</w:t>
      </w:r>
      <w:r w:rsidRPr="00540D68">
        <w:noBreakHyphen/>
        <w:t>day volatility (≈3%) by √252 trading days, Tesla exhibits roughly 40–45% annualized volatility, marking it as significantly more volatile than many blue</w:t>
      </w:r>
      <w:r w:rsidRPr="00540D68">
        <w:noBreakHyphen/>
        <w:t>chip stocks.</w:t>
      </w:r>
    </w:p>
    <w:p w14:paraId="1E48ED6C" w14:textId="699ABF2E" w:rsidR="00AC2567" w:rsidRPr="00540D68" w:rsidRDefault="00AC2567" w:rsidP="00AC2567">
      <w:pPr>
        <w:pStyle w:val="ListParagraph"/>
        <w:numPr>
          <w:ilvl w:val="0"/>
          <w:numId w:val="13"/>
        </w:numPr>
        <w:rPr>
          <w:b/>
          <w:bCs/>
        </w:rPr>
      </w:pPr>
      <w:r w:rsidRPr="00540D68">
        <w:t>Typical 30</w:t>
      </w:r>
      <w:r w:rsidRPr="00540D68">
        <w:noBreakHyphen/>
        <w:t>Day Volatility: Most readings fall between 2.5% and 3.5%, reflecting moderate to high month</w:t>
      </w:r>
      <w:r w:rsidRPr="00540D68">
        <w:noBreakHyphen/>
        <w:t>long price swings.</w:t>
      </w:r>
    </w:p>
    <w:p w14:paraId="377450B0" w14:textId="2DDD6B81" w:rsidR="00AC2567" w:rsidRDefault="00AC2567" w:rsidP="00AC2567">
      <w:pPr>
        <w:pStyle w:val="ListParagraph"/>
        <w:numPr>
          <w:ilvl w:val="0"/>
          <w:numId w:val="14"/>
        </w:numPr>
        <w:rPr>
          <w:b/>
          <w:bCs/>
          <w:sz w:val="28"/>
          <w:szCs w:val="28"/>
        </w:rPr>
      </w:pPr>
      <w:r w:rsidRPr="00AC2567">
        <w:rPr>
          <w:b/>
          <w:bCs/>
          <w:sz w:val="28"/>
          <w:szCs w:val="28"/>
        </w:rPr>
        <w:t>Peak Volatility</w:t>
      </w:r>
      <w:r>
        <w:rPr>
          <w:b/>
          <w:bCs/>
          <w:sz w:val="28"/>
          <w:szCs w:val="28"/>
        </w:rPr>
        <w:t>:</w:t>
      </w:r>
    </w:p>
    <w:p w14:paraId="0BAA0DE5" w14:textId="60920904" w:rsidR="00AC2567" w:rsidRPr="00540D68" w:rsidRDefault="00AC2567" w:rsidP="00AC2567">
      <w:pPr>
        <w:pStyle w:val="ListParagraph"/>
        <w:numPr>
          <w:ilvl w:val="0"/>
          <w:numId w:val="15"/>
        </w:numPr>
      </w:pPr>
      <w:r w:rsidRPr="00540D68">
        <w:t>The highest spike reaches about 5.5% in late June 2022.</w:t>
      </w:r>
    </w:p>
    <w:p w14:paraId="5DB1ADC9" w14:textId="35ED8DDE" w:rsidR="00AC2567" w:rsidRPr="00540D68" w:rsidRDefault="00AC2567" w:rsidP="00AC2567">
      <w:pPr>
        <w:pStyle w:val="ListParagraph"/>
        <w:numPr>
          <w:ilvl w:val="0"/>
          <w:numId w:val="15"/>
        </w:numPr>
      </w:pPr>
      <w:r w:rsidRPr="00540D68">
        <w:t>This corresponds with Tesla’s trough near $210 and broader macroeconomic fears—rising interest rates and inflation—driving large daily price swings.</w:t>
      </w:r>
    </w:p>
    <w:p w14:paraId="75DDAA12" w14:textId="19317FF7" w:rsidR="00AC2567" w:rsidRPr="00540D68" w:rsidRDefault="00AC2567" w:rsidP="00AC2567">
      <w:pPr>
        <w:pStyle w:val="ListParagraph"/>
        <w:numPr>
          <w:ilvl w:val="0"/>
          <w:numId w:val="15"/>
        </w:numPr>
      </w:pPr>
      <w:r w:rsidRPr="00540D68">
        <w:t>A 5.5% daily volatility implies that over a month the price range was more than twice its usual breadth.</w:t>
      </w:r>
    </w:p>
    <w:p w14:paraId="4578B536" w14:textId="54760924" w:rsidR="00AC2567" w:rsidRDefault="00AC2567" w:rsidP="00AC2567">
      <w:pPr>
        <w:pStyle w:val="ListParagraph"/>
        <w:numPr>
          <w:ilvl w:val="0"/>
          <w:numId w:val="14"/>
        </w:numPr>
        <w:rPr>
          <w:b/>
          <w:bCs/>
          <w:sz w:val="28"/>
          <w:szCs w:val="28"/>
        </w:rPr>
      </w:pPr>
      <w:r w:rsidRPr="00AC2567">
        <w:rPr>
          <w:b/>
          <w:bCs/>
          <w:sz w:val="28"/>
          <w:szCs w:val="28"/>
        </w:rPr>
        <w:t>Troughs and Stabilization Periods</w:t>
      </w:r>
      <w:r>
        <w:rPr>
          <w:b/>
          <w:bCs/>
          <w:sz w:val="28"/>
          <w:szCs w:val="28"/>
        </w:rPr>
        <w:t>:</w:t>
      </w:r>
    </w:p>
    <w:p w14:paraId="519608B5" w14:textId="4ABF37B7" w:rsidR="00AC2567" w:rsidRPr="00540D68" w:rsidRDefault="00AC2567" w:rsidP="00AC2567">
      <w:pPr>
        <w:pStyle w:val="ListParagraph"/>
        <w:numPr>
          <w:ilvl w:val="0"/>
          <w:numId w:val="16"/>
        </w:numPr>
      </w:pPr>
      <w:r w:rsidRPr="00540D68">
        <w:t>Volatility declines to about 2.7% by late September 2022, reflecting easing investor anxiety and more stable trading conditions.</w:t>
      </w:r>
    </w:p>
    <w:p w14:paraId="6994F7B4" w14:textId="078BBE6D" w:rsidR="00AC2567" w:rsidRPr="00540D68" w:rsidRDefault="00AC2567" w:rsidP="00AC2567">
      <w:pPr>
        <w:pStyle w:val="ListParagraph"/>
        <w:numPr>
          <w:ilvl w:val="0"/>
          <w:numId w:val="16"/>
        </w:numPr>
      </w:pPr>
      <w:r w:rsidRPr="00540D68">
        <w:t>During mid</w:t>
      </w:r>
      <w:r w:rsidRPr="00540D68">
        <w:noBreakHyphen/>
        <w:t>summer (July–August 2022), volatility gradually falls from 5% to 3%, indicating a return to relative calm after the spring correction.</w:t>
      </w:r>
    </w:p>
    <w:p w14:paraId="2606E0D2" w14:textId="14FA2551" w:rsidR="00AC2567" w:rsidRDefault="00AC2567" w:rsidP="00AC2567">
      <w:pPr>
        <w:pStyle w:val="ListParagraph"/>
        <w:numPr>
          <w:ilvl w:val="0"/>
          <w:numId w:val="14"/>
        </w:numPr>
        <w:rPr>
          <w:b/>
          <w:bCs/>
          <w:sz w:val="28"/>
          <w:szCs w:val="28"/>
        </w:rPr>
      </w:pPr>
      <w:r w:rsidRPr="00AC2567">
        <w:rPr>
          <w:b/>
          <w:bCs/>
          <w:sz w:val="28"/>
          <w:szCs w:val="28"/>
        </w:rPr>
        <w:t>Seasonal Patterns:</w:t>
      </w:r>
    </w:p>
    <w:p w14:paraId="669C98F7" w14:textId="6B441010" w:rsidR="00AC2567" w:rsidRPr="00540D68" w:rsidRDefault="00AC2567" w:rsidP="00AC2567">
      <w:pPr>
        <w:pStyle w:val="ListParagraph"/>
        <w:numPr>
          <w:ilvl w:val="0"/>
          <w:numId w:val="17"/>
        </w:numPr>
      </w:pPr>
      <w:r w:rsidRPr="00540D68">
        <w:t>Spikes coincide with corrective phases (February–May 2022), when volatility routinely exceeded 4%.</w:t>
      </w:r>
    </w:p>
    <w:p w14:paraId="667D9E89" w14:textId="3E92B7AE" w:rsidR="00AC2567" w:rsidRPr="00540D68" w:rsidRDefault="00AC2567" w:rsidP="00AC2567">
      <w:pPr>
        <w:pStyle w:val="ListParagraph"/>
        <w:numPr>
          <w:ilvl w:val="0"/>
          <w:numId w:val="17"/>
        </w:numPr>
      </w:pPr>
      <w:r w:rsidRPr="00540D68">
        <w:t>Lulls align with consolidation (August–September), with volatility dipping closer to its long</w:t>
      </w:r>
      <w:r w:rsidRPr="00540D68">
        <w:noBreakHyphen/>
        <w:t>term average.</w:t>
      </w:r>
    </w:p>
    <w:p w14:paraId="319554E0" w14:textId="016243C2" w:rsidR="00AC2567" w:rsidRDefault="00AC2567" w:rsidP="005A7A3A">
      <w:pPr>
        <w:pStyle w:val="ListParagraph"/>
        <w:numPr>
          <w:ilvl w:val="0"/>
          <w:numId w:val="14"/>
        </w:numPr>
        <w:rPr>
          <w:sz w:val="28"/>
          <w:szCs w:val="28"/>
        </w:rPr>
      </w:pPr>
      <w:r w:rsidRPr="00AC2567">
        <w:rPr>
          <w:b/>
          <w:bCs/>
          <w:sz w:val="28"/>
          <w:szCs w:val="28"/>
        </w:rPr>
        <w:t>Summary</w:t>
      </w:r>
      <w:r>
        <w:rPr>
          <w:sz w:val="28"/>
          <w:szCs w:val="28"/>
        </w:rPr>
        <w:t>:</w:t>
      </w:r>
    </w:p>
    <w:p w14:paraId="4CE01B4D" w14:textId="5C554E3A" w:rsidR="00540D68" w:rsidRDefault="00AC2567" w:rsidP="00AC2567">
      <w:pPr>
        <w:pStyle w:val="ListParagraph"/>
        <w:numPr>
          <w:ilvl w:val="0"/>
          <w:numId w:val="18"/>
        </w:numPr>
      </w:pPr>
      <w:r w:rsidRPr="00540D68">
        <w:t>Tesla’s 30</w:t>
      </w:r>
      <w:r w:rsidRPr="00540D68">
        <w:noBreakHyphen/>
        <w:t>day rolling volatility peaked at 5.5% in June 2022 amid sharp market downturns, then eased to 2.7% by late September. On an annualized basis, the stock shows roughly 40–45% volatility, with clear upticks during market corrections and declines during stabilization periods.</w:t>
      </w:r>
    </w:p>
    <w:p w14:paraId="4FA6E149" w14:textId="77777777" w:rsidR="00540D68" w:rsidRDefault="00540D68">
      <w:r>
        <w:br w:type="page"/>
      </w:r>
    </w:p>
    <w:p w14:paraId="1381242B" w14:textId="5FC40550" w:rsidR="00AC2567" w:rsidRDefault="004C3BB8" w:rsidP="004C3BB8">
      <w:pPr>
        <w:pStyle w:val="Heading2"/>
        <w:rPr>
          <w:b/>
          <w:bCs/>
        </w:rPr>
      </w:pPr>
      <w:r w:rsidRPr="004C3BB8">
        <w:rPr>
          <w:b/>
          <w:bCs/>
        </w:rPr>
        <w:t>Cumulative Returns</w:t>
      </w:r>
      <w:r>
        <w:rPr>
          <w:b/>
          <w:bCs/>
        </w:rPr>
        <w:t>:</w:t>
      </w:r>
    </w:p>
    <w:p w14:paraId="7CF67E45" w14:textId="77777777" w:rsidR="004C3BB8" w:rsidRDefault="004C3BB8" w:rsidP="004C3BB8">
      <w:pPr>
        <w:keepNext/>
      </w:pPr>
      <w:r>
        <w:rPr>
          <w:rFonts w:hint="cs"/>
          <w:noProof/>
          <w:rtl/>
          <w:lang w:val="ar-SA"/>
        </w:rPr>
        <w:drawing>
          <wp:inline distT="0" distB="0" distL="0" distR="0" wp14:anchorId="66716D1A" wp14:editId="54F08249">
            <wp:extent cx="5731510" cy="2847340"/>
            <wp:effectExtent l="0" t="0" r="2540" b="0"/>
            <wp:docPr id="1366701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692" name="Picture 13667016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494F7B09" w14:textId="1CB35842" w:rsidR="004C3BB8" w:rsidRDefault="004C3BB8" w:rsidP="004C3BB8">
      <w:pPr>
        <w:pStyle w:val="Caption"/>
        <w:jc w:val="center"/>
      </w:pPr>
      <w:r>
        <w:t>Figure 8, Cumulative Returns of Tesla Investment over time.</w:t>
      </w:r>
    </w:p>
    <w:p w14:paraId="7537A071" w14:textId="1AA12330" w:rsidR="004C3BB8" w:rsidRPr="004C3BB8" w:rsidRDefault="004C3BB8" w:rsidP="004C3BB8">
      <w:pPr>
        <w:rPr>
          <w:sz w:val="28"/>
          <w:szCs w:val="28"/>
        </w:rPr>
      </w:pPr>
      <w:r w:rsidRPr="004C3BB8">
        <w:rPr>
          <w:sz w:val="28"/>
          <w:szCs w:val="28"/>
        </w:rPr>
        <w:t xml:space="preserve">Figure 8 shows the </w:t>
      </w:r>
      <w:r w:rsidRPr="004C3BB8">
        <w:rPr>
          <w:b/>
          <w:bCs/>
          <w:sz w:val="28"/>
          <w:szCs w:val="28"/>
        </w:rPr>
        <w:t>cumulative return</w:t>
      </w:r>
      <w:r w:rsidRPr="004C3BB8">
        <w:rPr>
          <w:sz w:val="28"/>
          <w:szCs w:val="28"/>
        </w:rPr>
        <w:t xml:space="preserve"> of a hypothetical $1.00 investment in Tesla’s closing price from October 2021 through October 2022.</w:t>
      </w:r>
    </w:p>
    <w:p w14:paraId="6C38F766" w14:textId="77777777" w:rsidR="004C3BB8" w:rsidRDefault="004C3BB8" w:rsidP="004C3BB8">
      <w:pPr>
        <w:rPr>
          <w:sz w:val="28"/>
          <w:szCs w:val="28"/>
        </w:rPr>
      </w:pPr>
    </w:p>
    <w:p w14:paraId="61CE0F7B" w14:textId="18F3B691" w:rsidR="004C3BB8" w:rsidRPr="004C3BB8" w:rsidRDefault="004C3BB8" w:rsidP="004C3BB8">
      <w:pPr>
        <w:pStyle w:val="ListParagraph"/>
        <w:numPr>
          <w:ilvl w:val="0"/>
          <w:numId w:val="20"/>
        </w:numPr>
        <w:rPr>
          <w:sz w:val="28"/>
          <w:szCs w:val="28"/>
        </w:rPr>
      </w:pPr>
      <w:r w:rsidRPr="004C3BB8">
        <w:rPr>
          <w:b/>
          <w:bCs/>
          <w:sz w:val="28"/>
          <w:szCs w:val="28"/>
        </w:rPr>
        <w:t>Initial Surge</w:t>
      </w:r>
      <w:r>
        <w:rPr>
          <w:b/>
          <w:bCs/>
          <w:sz w:val="28"/>
          <w:szCs w:val="28"/>
        </w:rPr>
        <w:t>:</w:t>
      </w:r>
    </w:p>
    <w:p w14:paraId="616148AF" w14:textId="3BB7CAF6" w:rsidR="004C3BB8" w:rsidRDefault="004C3BB8" w:rsidP="004C3BB8">
      <w:pPr>
        <w:pStyle w:val="ListParagraph"/>
        <w:numPr>
          <w:ilvl w:val="0"/>
          <w:numId w:val="18"/>
        </w:numPr>
        <w:jc w:val="both"/>
        <w:rPr>
          <w:sz w:val="28"/>
          <w:szCs w:val="28"/>
        </w:rPr>
      </w:pPr>
      <w:r w:rsidRPr="004C3BB8">
        <w:t xml:space="preserve">The investment value rises from </w:t>
      </w:r>
      <w:r w:rsidRPr="004C3BB8">
        <w:rPr>
          <w:b/>
          <w:bCs/>
        </w:rPr>
        <w:t>1.00</w:t>
      </w:r>
      <w:r w:rsidRPr="004C3BB8">
        <w:t xml:space="preserve"> to approximately </w:t>
      </w:r>
      <w:r w:rsidRPr="004C3BB8">
        <w:rPr>
          <w:b/>
          <w:bCs/>
        </w:rPr>
        <w:t>1.57</w:t>
      </w:r>
      <w:r w:rsidRPr="004C3BB8">
        <w:t xml:space="preserve"> by late November 2021, mirroring Tesla’s climb from around $260 to $415</w:t>
      </w:r>
      <w:r w:rsidRPr="004C3BB8">
        <w:rPr>
          <w:sz w:val="28"/>
          <w:szCs w:val="28"/>
        </w:rPr>
        <w:t>.</w:t>
      </w:r>
    </w:p>
    <w:p w14:paraId="185A3039" w14:textId="24F41BB7" w:rsidR="004C3BB8" w:rsidRPr="004C3BB8" w:rsidRDefault="004C3BB8" w:rsidP="004C3BB8">
      <w:pPr>
        <w:pStyle w:val="ListParagraph"/>
        <w:numPr>
          <w:ilvl w:val="0"/>
          <w:numId w:val="20"/>
        </w:numPr>
        <w:jc w:val="both"/>
        <w:rPr>
          <w:sz w:val="28"/>
          <w:szCs w:val="28"/>
        </w:rPr>
      </w:pPr>
      <w:r w:rsidRPr="004C3BB8">
        <w:rPr>
          <w:b/>
          <w:bCs/>
          <w:sz w:val="28"/>
          <w:szCs w:val="28"/>
        </w:rPr>
        <w:t>Mid</w:t>
      </w:r>
      <w:r w:rsidRPr="004C3BB8">
        <w:rPr>
          <w:b/>
          <w:bCs/>
          <w:sz w:val="28"/>
          <w:szCs w:val="28"/>
        </w:rPr>
        <w:noBreakHyphen/>
        <w:t>Period Correction</w:t>
      </w:r>
      <w:r>
        <w:rPr>
          <w:b/>
          <w:bCs/>
          <w:sz w:val="28"/>
          <w:szCs w:val="28"/>
        </w:rPr>
        <w:t>:</w:t>
      </w:r>
    </w:p>
    <w:p w14:paraId="529189A7" w14:textId="2C28B697" w:rsidR="004C3BB8" w:rsidRDefault="004C3BB8" w:rsidP="004C3BB8">
      <w:pPr>
        <w:pStyle w:val="ListParagraph"/>
        <w:numPr>
          <w:ilvl w:val="0"/>
          <w:numId w:val="18"/>
        </w:numPr>
      </w:pPr>
      <w:r w:rsidRPr="004C3BB8">
        <w:t xml:space="preserve">Entering 2022, the value declines to </w:t>
      </w:r>
      <w:r w:rsidRPr="004C3BB8">
        <w:rPr>
          <w:b/>
          <w:bCs/>
        </w:rPr>
        <w:t>1.15</w:t>
      </w:r>
      <w:r w:rsidRPr="004C3BB8">
        <w:t xml:space="preserve"> by mid</w:t>
      </w:r>
      <w:r w:rsidRPr="004C3BB8">
        <w:noBreakHyphen/>
        <w:t xml:space="preserve">January, then falls further to a </w:t>
      </w:r>
      <w:r w:rsidRPr="004C3BB8">
        <w:rPr>
          <w:b/>
          <w:bCs/>
        </w:rPr>
        <w:t>0.80</w:t>
      </w:r>
      <w:r w:rsidRPr="004C3BB8">
        <w:t xml:space="preserve"> low by late May 2022, corresponding with the stock’s trough near $210.</w:t>
      </w:r>
    </w:p>
    <w:p w14:paraId="291EECDD" w14:textId="44DBECCA" w:rsidR="004C3BB8" w:rsidRDefault="004C3BB8" w:rsidP="004C3BB8">
      <w:pPr>
        <w:pStyle w:val="ListParagraph"/>
        <w:numPr>
          <w:ilvl w:val="0"/>
          <w:numId w:val="20"/>
        </w:numPr>
        <w:rPr>
          <w:b/>
          <w:bCs/>
          <w:sz w:val="28"/>
          <w:szCs w:val="28"/>
        </w:rPr>
      </w:pPr>
      <w:r w:rsidRPr="004C3BB8">
        <w:rPr>
          <w:b/>
          <w:bCs/>
          <w:sz w:val="28"/>
          <w:szCs w:val="28"/>
        </w:rPr>
        <w:t>Partial Recovery</w:t>
      </w:r>
      <w:r>
        <w:rPr>
          <w:b/>
          <w:bCs/>
          <w:sz w:val="28"/>
          <w:szCs w:val="28"/>
        </w:rPr>
        <w:t>:</w:t>
      </w:r>
    </w:p>
    <w:p w14:paraId="628F87E3" w14:textId="6480418A" w:rsidR="004C3BB8" w:rsidRDefault="004C3BB8" w:rsidP="004C3BB8">
      <w:pPr>
        <w:pStyle w:val="ListParagraph"/>
        <w:numPr>
          <w:ilvl w:val="0"/>
          <w:numId w:val="18"/>
        </w:numPr>
        <w:jc w:val="both"/>
      </w:pPr>
      <w:r w:rsidRPr="004C3BB8">
        <w:t>After the May trough, the investment rebounds to roughly 1.00 by July 2022, as prices recover to around $260.</w:t>
      </w:r>
    </w:p>
    <w:p w14:paraId="785A760C" w14:textId="2AA83E8B" w:rsidR="004C3BB8" w:rsidRDefault="004C3BB8" w:rsidP="004C3BB8">
      <w:pPr>
        <w:pStyle w:val="ListParagraph"/>
        <w:numPr>
          <w:ilvl w:val="0"/>
          <w:numId w:val="20"/>
        </w:numPr>
        <w:rPr>
          <w:b/>
          <w:bCs/>
          <w:sz w:val="28"/>
          <w:szCs w:val="28"/>
        </w:rPr>
      </w:pPr>
      <w:r w:rsidRPr="004C3BB8">
        <w:rPr>
          <w:b/>
          <w:bCs/>
          <w:sz w:val="28"/>
          <w:szCs w:val="28"/>
        </w:rPr>
        <w:t>End</w:t>
      </w:r>
      <w:r w:rsidRPr="004C3BB8">
        <w:rPr>
          <w:b/>
          <w:bCs/>
          <w:sz w:val="28"/>
          <w:szCs w:val="28"/>
        </w:rPr>
        <w:noBreakHyphen/>
        <w:t>Period Stabilization</w:t>
      </w:r>
      <w:r>
        <w:rPr>
          <w:b/>
          <w:bCs/>
          <w:sz w:val="28"/>
          <w:szCs w:val="28"/>
        </w:rPr>
        <w:t>:</w:t>
      </w:r>
    </w:p>
    <w:p w14:paraId="6B480194" w14:textId="3969BF92" w:rsidR="004C3BB8" w:rsidRDefault="004C3BB8" w:rsidP="004C3BB8">
      <w:pPr>
        <w:pStyle w:val="ListParagraph"/>
        <w:numPr>
          <w:ilvl w:val="0"/>
          <w:numId w:val="18"/>
        </w:numPr>
        <w:jc w:val="both"/>
      </w:pPr>
      <w:r w:rsidRPr="004C3BB8">
        <w:t>From August through September 2022, cumulative returns stabilize in the 1.05–1.10 range, indicating a consolidation phase ahead of potential future moves.</w:t>
      </w:r>
    </w:p>
    <w:p w14:paraId="2FA4D6AB" w14:textId="2F04310D" w:rsidR="004C3BB8" w:rsidRDefault="004C3BB8" w:rsidP="004C3BB8">
      <w:pPr>
        <w:pStyle w:val="ListParagraph"/>
        <w:numPr>
          <w:ilvl w:val="0"/>
          <w:numId w:val="20"/>
        </w:numPr>
        <w:jc w:val="both"/>
        <w:rPr>
          <w:b/>
          <w:bCs/>
          <w:sz w:val="28"/>
          <w:szCs w:val="28"/>
        </w:rPr>
      </w:pPr>
      <w:r w:rsidRPr="004C3BB8">
        <w:rPr>
          <w:b/>
          <w:bCs/>
          <w:sz w:val="28"/>
          <w:szCs w:val="28"/>
        </w:rPr>
        <w:t>Summary</w:t>
      </w:r>
      <w:r>
        <w:rPr>
          <w:b/>
          <w:bCs/>
          <w:sz w:val="28"/>
          <w:szCs w:val="28"/>
        </w:rPr>
        <w:t>:</w:t>
      </w:r>
    </w:p>
    <w:p w14:paraId="3386F7E2" w14:textId="5C371D09" w:rsidR="004C3BB8" w:rsidRDefault="004C3BB8" w:rsidP="004C3BB8">
      <w:pPr>
        <w:pStyle w:val="ListParagraph"/>
        <w:numPr>
          <w:ilvl w:val="0"/>
          <w:numId w:val="18"/>
        </w:numPr>
      </w:pPr>
      <w:r w:rsidRPr="004C3BB8">
        <w:t>Cumulative returns start at 1.00, peak near 1.57 in November 2021, drop to 0.80 in May 2022, and then partially recover to about 1.05–1.10 by the end of the period.</w:t>
      </w:r>
    </w:p>
    <w:p w14:paraId="4961CDF1" w14:textId="77777777" w:rsidR="004C3BB8" w:rsidRDefault="004C3BB8">
      <w:r>
        <w:br w:type="page"/>
      </w:r>
    </w:p>
    <w:p w14:paraId="48400CC8" w14:textId="164FB3B6" w:rsidR="004C3BB8" w:rsidRDefault="007960EF" w:rsidP="007960EF">
      <w:pPr>
        <w:pStyle w:val="Heading2"/>
      </w:pPr>
      <w:r w:rsidRPr="007960EF">
        <w:rPr>
          <w:b/>
          <w:bCs/>
        </w:rPr>
        <w:t>Average Cumulative Return by Month</w:t>
      </w:r>
      <w:r>
        <w:rPr>
          <w:b/>
          <w:bCs/>
        </w:rPr>
        <w:t>:</w:t>
      </w:r>
    </w:p>
    <w:p w14:paraId="7CBBE377" w14:textId="77777777" w:rsidR="007960EF" w:rsidRDefault="007960EF" w:rsidP="007960EF">
      <w:pPr>
        <w:keepNext/>
      </w:pPr>
      <w:r>
        <w:rPr>
          <w:rFonts w:hint="cs"/>
          <w:noProof/>
          <w:sz w:val="28"/>
          <w:szCs w:val="28"/>
          <w:rtl/>
          <w:lang w:val="ar-SA"/>
        </w:rPr>
        <w:drawing>
          <wp:inline distT="0" distB="0" distL="0" distR="0" wp14:anchorId="1924EF34" wp14:editId="0EC5CA59">
            <wp:extent cx="5731510" cy="4081145"/>
            <wp:effectExtent l="0" t="0" r="2540" b="0"/>
            <wp:docPr id="3932739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3931" name="Picture 3932739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51454E49" w14:textId="1CE7BAAD" w:rsidR="007960EF" w:rsidRDefault="007960EF" w:rsidP="007960EF">
      <w:pPr>
        <w:pStyle w:val="Caption"/>
        <w:jc w:val="center"/>
        <w:rPr>
          <w:sz w:val="28"/>
          <w:szCs w:val="28"/>
        </w:rPr>
      </w:pPr>
      <w:r>
        <w:t xml:space="preserve">Figure 9, </w:t>
      </w:r>
      <w:r w:rsidRPr="007960EF">
        <w:t>Average Cumulative Return by Month</w:t>
      </w:r>
      <w:r>
        <w:t>.</w:t>
      </w:r>
    </w:p>
    <w:p w14:paraId="40D004D9" w14:textId="77777777" w:rsidR="007960EF" w:rsidRPr="007960EF" w:rsidRDefault="007960EF" w:rsidP="007960EF">
      <w:pPr>
        <w:jc w:val="both"/>
        <w:rPr>
          <w:sz w:val="28"/>
          <w:szCs w:val="28"/>
        </w:rPr>
      </w:pPr>
      <w:r w:rsidRPr="007960EF">
        <w:rPr>
          <w:sz w:val="28"/>
          <w:szCs w:val="28"/>
        </w:rPr>
        <w:t>Figure 9 presents a bar chart of the average cumulative return of a hypothetical $1 investment in Tesla, broken down by calendar month over the period October 2021–October 2022. Each bar shows how much $1 would have grown or shrunk on average if held through that specific month across the sample.</w:t>
      </w:r>
    </w:p>
    <w:p w14:paraId="5B2FD7B3" w14:textId="0587627E" w:rsidR="007960EF" w:rsidRDefault="007960EF" w:rsidP="007960EF">
      <w:pPr>
        <w:pStyle w:val="ListParagraph"/>
        <w:numPr>
          <w:ilvl w:val="0"/>
          <w:numId w:val="23"/>
        </w:numPr>
        <w:jc w:val="both"/>
        <w:rPr>
          <w:b/>
          <w:bCs/>
          <w:sz w:val="28"/>
          <w:szCs w:val="28"/>
        </w:rPr>
      </w:pPr>
      <w:r w:rsidRPr="007960EF">
        <w:rPr>
          <w:b/>
          <w:bCs/>
          <w:sz w:val="28"/>
          <w:szCs w:val="28"/>
        </w:rPr>
        <w:t>Strong Year</w:t>
      </w:r>
      <w:r w:rsidRPr="007960EF">
        <w:rPr>
          <w:b/>
          <w:bCs/>
          <w:sz w:val="28"/>
          <w:szCs w:val="28"/>
        </w:rPr>
        <w:noBreakHyphen/>
        <w:t>End Performance:</w:t>
      </w:r>
    </w:p>
    <w:p w14:paraId="0DEEE074" w14:textId="5E1ED3BD" w:rsidR="007960EF" w:rsidRPr="007960EF" w:rsidRDefault="007960EF" w:rsidP="007960EF">
      <w:pPr>
        <w:pStyle w:val="ListParagraph"/>
        <w:numPr>
          <w:ilvl w:val="0"/>
          <w:numId w:val="18"/>
        </w:numPr>
        <w:jc w:val="both"/>
        <w:rPr>
          <w:b/>
          <w:bCs/>
          <w:sz w:val="28"/>
          <w:szCs w:val="28"/>
        </w:rPr>
      </w:pPr>
      <w:r w:rsidRPr="007960EF">
        <w:rPr>
          <w:b/>
          <w:bCs/>
          <w:sz w:val="28"/>
          <w:szCs w:val="28"/>
        </w:rPr>
        <w:t>November </w:t>
      </w:r>
      <w:r w:rsidRPr="007960EF">
        <w:rPr>
          <w:b/>
          <w:bCs/>
        </w:rPr>
        <w:t>2021</w:t>
      </w:r>
      <w:r w:rsidRPr="007960EF">
        <w:t xml:space="preserve"> and December 2021 show the highest monthly averages, around 1.20× and 1.15× respectively.</w:t>
      </w:r>
    </w:p>
    <w:p w14:paraId="10C788E5" w14:textId="3A532B8F" w:rsidR="007960EF" w:rsidRDefault="007960EF" w:rsidP="007960EF">
      <w:pPr>
        <w:pStyle w:val="ListParagraph"/>
        <w:numPr>
          <w:ilvl w:val="0"/>
          <w:numId w:val="18"/>
        </w:numPr>
        <w:jc w:val="both"/>
      </w:pPr>
      <w:r w:rsidRPr="007960EF">
        <w:t>This reflects the substantial rally that propelled the stock from roughly $260 to over $400 in Q4 2021.</w:t>
      </w:r>
    </w:p>
    <w:p w14:paraId="597138D4" w14:textId="28E2B584" w:rsidR="007960EF" w:rsidRDefault="007960EF" w:rsidP="007960EF">
      <w:pPr>
        <w:pStyle w:val="ListParagraph"/>
        <w:numPr>
          <w:ilvl w:val="0"/>
          <w:numId w:val="23"/>
        </w:numPr>
        <w:jc w:val="both"/>
        <w:rPr>
          <w:b/>
          <w:bCs/>
          <w:sz w:val="28"/>
          <w:szCs w:val="28"/>
        </w:rPr>
      </w:pPr>
      <w:r w:rsidRPr="007960EF">
        <w:rPr>
          <w:b/>
          <w:bCs/>
          <w:sz w:val="28"/>
          <w:szCs w:val="28"/>
        </w:rPr>
        <w:t>Gradual First</w:t>
      </w:r>
      <w:r w:rsidRPr="007960EF">
        <w:rPr>
          <w:b/>
          <w:bCs/>
          <w:sz w:val="28"/>
          <w:szCs w:val="28"/>
        </w:rPr>
        <w:noBreakHyphen/>
        <w:t>Quarter Decline</w:t>
      </w:r>
      <w:r>
        <w:rPr>
          <w:b/>
          <w:bCs/>
          <w:sz w:val="28"/>
          <w:szCs w:val="28"/>
        </w:rPr>
        <w:t>:</w:t>
      </w:r>
    </w:p>
    <w:p w14:paraId="4FC1179F" w14:textId="7454F904" w:rsidR="007960EF" w:rsidRPr="007960EF" w:rsidRDefault="007960EF" w:rsidP="007960EF">
      <w:pPr>
        <w:pStyle w:val="ListParagraph"/>
        <w:numPr>
          <w:ilvl w:val="0"/>
          <w:numId w:val="24"/>
        </w:numPr>
        <w:jc w:val="both"/>
        <w:rPr>
          <w:b/>
          <w:bCs/>
          <w:sz w:val="28"/>
          <w:szCs w:val="28"/>
        </w:rPr>
      </w:pPr>
      <w:r w:rsidRPr="007960EF">
        <w:rPr>
          <w:b/>
          <w:bCs/>
          <w:sz w:val="28"/>
          <w:szCs w:val="28"/>
        </w:rPr>
        <w:t>January </w:t>
      </w:r>
      <w:r w:rsidRPr="007960EF">
        <w:t>2022 holds around 1.15×, but February dips to about 1.10× and March to 1.05×, indicating profit</w:t>
      </w:r>
      <w:r w:rsidRPr="007960EF">
        <w:noBreakHyphen/>
        <w:t>taking and the onset of broader market headwinds.</w:t>
      </w:r>
    </w:p>
    <w:p w14:paraId="3E2B661E" w14:textId="1233F9DC" w:rsidR="007960EF" w:rsidRDefault="007960EF" w:rsidP="007960EF">
      <w:pPr>
        <w:pStyle w:val="ListParagraph"/>
        <w:numPr>
          <w:ilvl w:val="0"/>
          <w:numId w:val="23"/>
        </w:numPr>
        <w:jc w:val="both"/>
        <w:rPr>
          <w:b/>
          <w:bCs/>
          <w:sz w:val="28"/>
          <w:szCs w:val="28"/>
        </w:rPr>
      </w:pPr>
      <w:r w:rsidRPr="007960EF">
        <w:rPr>
          <w:b/>
          <w:bCs/>
          <w:sz w:val="28"/>
          <w:szCs w:val="28"/>
        </w:rPr>
        <w:t>Weakness in Late Spring</w:t>
      </w:r>
      <w:r>
        <w:rPr>
          <w:b/>
          <w:bCs/>
          <w:sz w:val="28"/>
          <w:szCs w:val="28"/>
        </w:rPr>
        <w:t>:</w:t>
      </w:r>
    </w:p>
    <w:p w14:paraId="3619F3CD" w14:textId="4EBDDB19" w:rsidR="007960EF" w:rsidRDefault="007960EF" w:rsidP="007960EF">
      <w:pPr>
        <w:pStyle w:val="ListParagraph"/>
        <w:numPr>
          <w:ilvl w:val="0"/>
          <w:numId w:val="24"/>
        </w:numPr>
        <w:jc w:val="both"/>
      </w:pPr>
      <w:r w:rsidRPr="007960EF">
        <w:rPr>
          <w:b/>
          <w:bCs/>
          <w:sz w:val="28"/>
          <w:szCs w:val="28"/>
        </w:rPr>
        <w:t xml:space="preserve">April 2022 </w:t>
      </w:r>
      <w:r w:rsidRPr="007960EF">
        <w:t>averages near 1.00×, and May 2022 is the weakest, around 0.90×, coinciding with Tesla’s trough near $210 and macroeconomic concerns.</w:t>
      </w:r>
    </w:p>
    <w:p w14:paraId="47C4FC12" w14:textId="4F569208" w:rsidR="007960EF" w:rsidRDefault="007960EF" w:rsidP="007960EF">
      <w:pPr>
        <w:pStyle w:val="ListParagraph"/>
        <w:numPr>
          <w:ilvl w:val="0"/>
          <w:numId w:val="23"/>
        </w:numPr>
        <w:jc w:val="both"/>
        <w:rPr>
          <w:b/>
          <w:bCs/>
          <w:sz w:val="28"/>
          <w:szCs w:val="28"/>
        </w:rPr>
      </w:pPr>
      <w:r w:rsidRPr="007960EF">
        <w:rPr>
          <w:b/>
          <w:bCs/>
          <w:sz w:val="28"/>
          <w:szCs w:val="28"/>
        </w:rPr>
        <w:t>Partial Summer Recovery</w:t>
      </w:r>
      <w:r>
        <w:rPr>
          <w:b/>
          <w:bCs/>
          <w:sz w:val="28"/>
          <w:szCs w:val="28"/>
        </w:rPr>
        <w:t>:</w:t>
      </w:r>
    </w:p>
    <w:p w14:paraId="260B235D" w14:textId="3ACB1C8A" w:rsidR="007960EF" w:rsidRDefault="007960EF" w:rsidP="007960EF">
      <w:pPr>
        <w:pStyle w:val="ListParagraph"/>
        <w:numPr>
          <w:ilvl w:val="0"/>
          <w:numId w:val="24"/>
        </w:numPr>
        <w:jc w:val="both"/>
      </w:pPr>
      <w:r w:rsidRPr="007960EF">
        <w:rPr>
          <w:b/>
          <w:bCs/>
        </w:rPr>
        <w:t>June and July 2022</w:t>
      </w:r>
      <w:r w:rsidRPr="007960EF">
        <w:rPr>
          <w:b/>
          <w:bCs/>
          <w:sz w:val="28"/>
          <w:szCs w:val="28"/>
        </w:rPr>
        <w:t xml:space="preserve"> </w:t>
      </w:r>
      <w:r w:rsidRPr="007960EF">
        <w:t>rebound to roughly 0.95× and 1.00× respectively, showing an initial recovery.</w:t>
      </w:r>
    </w:p>
    <w:p w14:paraId="6EB61E3D" w14:textId="21B71249" w:rsidR="007960EF" w:rsidRDefault="007960EF" w:rsidP="007960EF">
      <w:pPr>
        <w:pStyle w:val="ListParagraph"/>
        <w:numPr>
          <w:ilvl w:val="0"/>
          <w:numId w:val="24"/>
        </w:numPr>
        <w:jc w:val="both"/>
      </w:pPr>
      <w:r w:rsidRPr="007960EF">
        <w:rPr>
          <w:b/>
          <w:bCs/>
        </w:rPr>
        <w:t>August–September 2022</w:t>
      </w:r>
      <w:r w:rsidRPr="007960EF">
        <w:t xml:space="preserve"> </w:t>
      </w:r>
      <w:proofErr w:type="gramStart"/>
      <w:r w:rsidRPr="007960EF">
        <w:t>continue</w:t>
      </w:r>
      <w:proofErr w:type="gramEnd"/>
      <w:r w:rsidRPr="007960EF">
        <w:t xml:space="preserve"> this trend with averages around </w:t>
      </w:r>
      <w:r w:rsidRPr="007960EF">
        <w:rPr>
          <w:b/>
          <w:bCs/>
        </w:rPr>
        <w:t>1.05×</w:t>
      </w:r>
      <w:r w:rsidRPr="007960EF">
        <w:t>, reflecting consolidation.</w:t>
      </w:r>
    </w:p>
    <w:p w14:paraId="1F4B4C4B" w14:textId="7D5AF936" w:rsidR="007960EF" w:rsidRDefault="007960EF" w:rsidP="007960EF">
      <w:pPr>
        <w:pStyle w:val="ListParagraph"/>
        <w:numPr>
          <w:ilvl w:val="0"/>
          <w:numId w:val="23"/>
        </w:numPr>
        <w:jc w:val="both"/>
        <w:rPr>
          <w:b/>
          <w:bCs/>
          <w:sz w:val="28"/>
          <w:szCs w:val="28"/>
        </w:rPr>
      </w:pPr>
      <w:r w:rsidRPr="007960EF">
        <w:rPr>
          <w:b/>
          <w:bCs/>
          <w:sz w:val="28"/>
          <w:szCs w:val="28"/>
        </w:rPr>
        <w:t>October Trend</w:t>
      </w:r>
      <w:r>
        <w:rPr>
          <w:b/>
          <w:bCs/>
          <w:sz w:val="28"/>
          <w:szCs w:val="28"/>
        </w:rPr>
        <w:t>:</w:t>
      </w:r>
    </w:p>
    <w:p w14:paraId="6F6592C3" w14:textId="52FB9AB7" w:rsidR="007960EF" w:rsidRDefault="007960EF" w:rsidP="007960EF">
      <w:pPr>
        <w:pStyle w:val="ListParagraph"/>
        <w:numPr>
          <w:ilvl w:val="0"/>
          <w:numId w:val="25"/>
        </w:numPr>
        <w:jc w:val="both"/>
      </w:pPr>
      <w:r w:rsidRPr="007960EF">
        <w:rPr>
          <w:b/>
          <w:bCs/>
          <w:sz w:val="28"/>
          <w:szCs w:val="28"/>
        </w:rPr>
        <w:t xml:space="preserve">October 2022 </w:t>
      </w:r>
      <w:r w:rsidRPr="007960EF">
        <w:t>holds near 1.06×, similar to September, suggesting stability heading into Q4.</w:t>
      </w:r>
    </w:p>
    <w:p w14:paraId="134AA21E" w14:textId="554BDB77" w:rsidR="007960EF" w:rsidRDefault="007960EF" w:rsidP="007960EF">
      <w:pPr>
        <w:pStyle w:val="ListParagraph"/>
        <w:numPr>
          <w:ilvl w:val="0"/>
          <w:numId w:val="23"/>
        </w:numPr>
        <w:rPr>
          <w:b/>
          <w:bCs/>
          <w:sz w:val="28"/>
          <w:szCs w:val="28"/>
        </w:rPr>
      </w:pPr>
      <w:r w:rsidRPr="007960EF">
        <w:rPr>
          <w:b/>
          <w:bCs/>
          <w:sz w:val="28"/>
          <w:szCs w:val="28"/>
        </w:rPr>
        <w:t>Summary</w:t>
      </w:r>
      <w:r>
        <w:rPr>
          <w:b/>
          <w:bCs/>
          <w:sz w:val="28"/>
          <w:szCs w:val="28"/>
        </w:rPr>
        <w:t>:</w:t>
      </w:r>
    </w:p>
    <w:p w14:paraId="6213C2B5" w14:textId="3BD5A142" w:rsidR="007960EF" w:rsidRPr="007960EF" w:rsidRDefault="007960EF" w:rsidP="007960EF">
      <w:pPr>
        <w:pStyle w:val="ListParagraph"/>
        <w:numPr>
          <w:ilvl w:val="0"/>
          <w:numId w:val="25"/>
        </w:numPr>
        <w:jc w:val="both"/>
      </w:pPr>
      <w:r w:rsidRPr="007960EF">
        <w:rPr>
          <w:b/>
          <w:bCs/>
        </w:rPr>
        <w:t>Month</w:t>
      </w:r>
      <w:r w:rsidRPr="007960EF">
        <w:rPr>
          <w:b/>
          <w:bCs/>
        </w:rPr>
        <w:noBreakHyphen/>
        <w:t>by</w:t>
      </w:r>
      <w:r w:rsidRPr="007960EF">
        <w:rPr>
          <w:b/>
          <w:bCs/>
        </w:rPr>
        <w:noBreakHyphen/>
        <w:t xml:space="preserve">month, Tesla’s </w:t>
      </w:r>
      <w:r w:rsidRPr="007960EF">
        <w:t>best average returns occur in Nov–Dec (≈1.15–1.20×), while May is the weakest (~0.90×). The sequence illustrates a strong year</w:t>
      </w:r>
      <w:r w:rsidRPr="007960EF">
        <w:noBreakHyphen/>
        <w:t>end rally, a mid</w:t>
      </w:r>
      <w:r w:rsidRPr="007960EF">
        <w:noBreakHyphen/>
        <w:t>spring pullback, and a modest summer recovery, supporting the idea of a seasonal tilt toward Q4.</w:t>
      </w:r>
    </w:p>
    <w:p w14:paraId="4D15A257" w14:textId="6A8C8C81" w:rsidR="00DC6AD6" w:rsidRDefault="00DC6AD6">
      <w:pPr>
        <w:rPr>
          <w:rtl/>
        </w:rPr>
      </w:pPr>
      <w:r>
        <w:rPr>
          <w:rtl/>
        </w:rPr>
        <w:br w:type="page"/>
      </w:r>
    </w:p>
    <w:p w14:paraId="2CF71D96" w14:textId="381E9470" w:rsidR="007960EF" w:rsidRDefault="00DC6AD6" w:rsidP="00DC6AD6">
      <w:pPr>
        <w:pStyle w:val="Heading2"/>
        <w:jc w:val="both"/>
        <w:rPr>
          <w:b/>
          <w:bCs/>
        </w:rPr>
      </w:pPr>
      <w:r w:rsidRPr="00DC6AD6">
        <w:rPr>
          <w:b/>
          <w:bCs/>
        </w:rPr>
        <w:t>Boxplot of Tesla’s Closing Prices</w:t>
      </w:r>
      <w:r>
        <w:rPr>
          <w:b/>
          <w:bCs/>
        </w:rPr>
        <w:t>:</w:t>
      </w:r>
    </w:p>
    <w:p w14:paraId="0CB3FF63" w14:textId="77777777" w:rsidR="00DC6AD6" w:rsidRDefault="00DC6AD6" w:rsidP="00DC6AD6">
      <w:pPr>
        <w:keepNext/>
      </w:pPr>
      <w:r>
        <w:rPr>
          <w:rFonts w:hint="cs"/>
          <w:noProof/>
        </w:rPr>
        <w:drawing>
          <wp:inline distT="0" distB="0" distL="0" distR="0" wp14:anchorId="10CA6322" wp14:editId="47D44356">
            <wp:extent cx="5731510" cy="2943860"/>
            <wp:effectExtent l="0" t="0" r="2540" b="8890"/>
            <wp:docPr id="657349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49150" name="Picture 657349150"/>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inline>
        </w:drawing>
      </w:r>
    </w:p>
    <w:p w14:paraId="673D5CFC" w14:textId="71661496" w:rsidR="00DC6AD6" w:rsidRDefault="00DC6AD6" w:rsidP="00DC6AD6">
      <w:pPr>
        <w:pStyle w:val="Caption"/>
        <w:jc w:val="center"/>
      </w:pPr>
      <w:r>
        <w:t xml:space="preserve">Figure 10, </w:t>
      </w:r>
      <w:r w:rsidRPr="00DC6AD6">
        <w:t>Boxplot of Tesla’s Daily Closing Prices</w:t>
      </w:r>
      <w:r>
        <w:t>.</w:t>
      </w:r>
    </w:p>
    <w:p w14:paraId="5D1E80BB" w14:textId="774B5EDA" w:rsidR="00DC6AD6" w:rsidRDefault="00DC6AD6" w:rsidP="00DC6AD6">
      <w:pPr>
        <w:rPr>
          <w:sz w:val="28"/>
          <w:szCs w:val="28"/>
        </w:rPr>
      </w:pPr>
      <w:r w:rsidRPr="00DC6AD6">
        <w:rPr>
          <w:sz w:val="28"/>
          <w:szCs w:val="28"/>
        </w:rPr>
        <w:t>Figure 10 presents a boxplot summarizing the distribution of Tesla’s</w:t>
      </w:r>
      <w:r>
        <w:rPr>
          <w:sz w:val="28"/>
          <w:szCs w:val="28"/>
        </w:rPr>
        <w:t xml:space="preserve"> </w:t>
      </w:r>
      <w:r w:rsidRPr="00DC6AD6">
        <w:rPr>
          <w:sz w:val="28"/>
          <w:szCs w:val="28"/>
        </w:rPr>
        <w:t>closing prices from October 2021 to October 2022.</w:t>
      </w:r>
    </w:p>
    <w:p w14:paraId="305AC264" w14:textId="55EF5223" w:rsidR="00DC6AD6" w:rsidRDefault="00DC6AD6" w:rsidP="00DC6AD6">
      <w:pPr>
        <w:pStyle w:val="ListParagraph"/>
        <w:numPr>
          <w:ilvl w:val="0"/>
          <w:numId w:val="26"/>
        </w:numPr>
        <w:rPr>
          <w:b/>
          <w:bCs/>
          <w:sz w:val="28"/>
          <w:szCs w:val="28"/>
        </w:rPr>
      </w:pPr>
      <w:r w:rsidRPr="00DC6AD6">
        <w:rPr>
          <w:b/>
          <w:bCs/>
          <w:sz w:val="28"/>
          <w:szCs w:val="28"/>
        </w:rPr>
        <w:t>Median (Q2)</w:t>
      </w:r>
      <w:r>
        <w:rPr>
          <w:b/>
          <w:bCs/>
          <w:sz w:val="28"/>
          <w:szCs w:val="28"/>
        </w:rPr>
        <w:t>:</w:t>
      </w:r>
    </w:p>
    <w:p w14:paraId="790378BE" w14:textId="7BEE3D39" w:rsidR="00DC6AD6" w:rsidRPr="00DC6AD6" w:rsidRDefault="00DC6AD6" w:rsidP="00DC6AD6">
      <w:pPr>
        <w:pStyle w:val="ListParagraph"/>
        <w:numPr>
          <w:ilvl w:val="0"/>
          <w:numId w:val="25"/>
        </w:numPr>
        <w:jc w:val="both"/>
      </w:pPr>
      <w:r w:rsidRPr="00DC6AD6">
        <w:t>The</w:t>
      </w:r>
      <w:r w:rsidRPr="00DC6AD6">
        <w:rPr>
          <w:b/>
          <w:bCs/>
        </w:rPr>
        <w:t xml:space="preserve"> bold line </w:t>
      </w:r>
      <w:r w:rsidRPr="00DC6AD6">
        <w:t>inside the box lies at approximately $295, indicating that half of the closing prices are below $295 and half above.</w:t>
      </w:r>
    </w:p>
    <w:p w14:paraId="1BB64CF6" w14:textId="7FA95403" w:rsidR="00DC6AD6" w:rsidRDefault="00DC6AD6" w:rsidP="00DC6AD6">
      <w:pPr>
        <w:pStyle w:val="ListParagraph"/>
        <w:numPr>
          <w:ilvl w:val="0"/>
          <w:numId w:val="25"/>
        </w:numPr>
        <w:jc w:val="both"/>
      </w:pPr>
      <w:r w:rsidRPr="00DC6AD6">
        <w:t>Notably, the median is closer to the lower edge of the box than to the upper edge, revealing a right</w:t>
      </w:r>
      <w:r w:rsidRPr="00DC6AD6">
        <w:noBreakHyphen/>
        <w:t>skewed distribution: there are more days with moderately lower closing prices, while a smaller number of days with very high prices stretch the upper tail.</w:t>
      </w:r>
    </w:p>
    <w:p w14:paraId="662005E3" w14:textId="55306F2B" w:rsidR="00DC6AD6" w:rsidRDefault="00DC6AD6" w:rsidP="00DC6AD6">
      <w:pPr>
        <w:pStyle w:val="ListParagraph"/>
        <w:numPr>
          <w:ilvl w:val="0"/>
          <w:numId w:val="26"/>
        </w:numPr>
        <w:jc w:val="both"/>
        <w:rPr>
          <w:b/>
          <w:bCs/>
          <w:sz w:val="28"/>
          <w:szCs w:val="28"/>
        </w:rPr>
      </w:pPr>
      <w:r w:rsidRPr="00DC6AD6">
        <w:rPr>
          <w:b/>
          <w:bCs/>
          <w:sz w:val="28"/>
          <w:szCs w:val="28"/>
        </w:rPr>
        <w:t>IQR:</w:t>
      </w:r>
    </w:p>
    <w:p w14:paraId="46C0C992" w14:textId="378A8E63" w:rsidR="00DC6AD6" w:rsidRDefault="00DC6AD6" w:rsidP="00DC6AD6">
      <w:pPr>
        <w:pStyle w:val="ListParagraph"/>
        <w:numPr>
          <w:ilvl w:val="0"/>
          <w:numId w:val="27"/>
        </w:numPr>
      </w:pPr>
      <w:r w:rsidRPr="00DC6AD6">
        <w:t>The box spans from the 25th percentile ($269) to the 75th percentile ($334), so the middle 50% of closing prices fall within this $65 range.</w:t>
      </w:r>
    </w:p>
    <w:p w14:paraId="68AB8351" w14:textId="7511B6F5" w:rsidR="00DC6AD6" w:rsidRDefault="00DC6AD6" w:rsidP="00DC6AD6">
      <w:pPr>
        <w:pStyle w:val="ListParagraph"/>
        <w:numPr>
          <w:ilvl w:val="0"/>
          <w:numId w:val="26"/>
        </w:numPr>
        <w:rPr>
          <w:b/>
          <w:bCs/>
          <w:sz w:val="28"/>
          <w:szCs w:val="28"/>
        </w:rPr>
      </w:pPr>
      <w:r w:rsidRPr="00DC6AD6">
        <w:rPr>
          <w:b/>
          <w:bCs/>
          <w:sz w:val="28"/>
          <w:szCs w:val="28"/>
        </w:rPr>
        <w:t>Whiskers (Range without outliers)</w:t>
      </w:r>
      <w:r>
        <w:rPr>
          <w:b/>
          <w:bCs/>
          <w:sz w:val="28"/>
          <w:szCs w:val="28"/>
        </w:rPr>
        <w:t>:</w:t>
      </w:r>
    </w:p>
    <w:p w14:paraId="226F4837" w14:textId="5B19DA39" w:rsidR="00DC6AD6" w:rsidRPr="00DC6AD6" w:rsidRDefault="00DC6AD6" w:rsidP="00DC6AD6">
      <w:pPr>
        <w:pStyle w:val="ListParagraph"/>
        <w:numPr>
          <w:ilvl w:val="0"/>
          <w:numId w:val="27"/>
        </w:numPr>
        <w:jc w:val="both"/>
      </w:pPr>
      <w:r w:rsidRPr="00DC6AD6">
        <w:t>The</w:t>
      </w:r>
      <w:r w:rsidRPr="00DC6AD6">
        <w:rPr>
          <w:b/>
          <w:bCs/>
          <w:sz w:val="28"/>
          <w:szCs w:val="28"/>
        </w:rPr>
        <w:t xml:space="preserve"> </w:t>
      </w:r>
      <w:r w:rsidRPr="00DC6AD6">
        <w:rPr>
          <w:b/>
          <w:bCs/>
        </w:rPr>
        <w:t xml:space="preserve">lower whisker </w:t>
      </w:r>
      <w:r w:rsidRPr="00DC6AD6">
        <w:t>extends down to around $209, matching the minimum observed close.</w:t>
      </w:r>
    </w:p>
    <w:p w14:paraId="766337FD" w14:textId="2E3BC53F" w:rsidR="00DC6AD6" w:rsidRPr="00DC6AD6" w:rsidRDefault="00DC6AD6" w:rsidP="00DC6AD6">
      <w:pPr>
        <w:pStyle w:val="ListParagraph"/>
        <w:numPr>
          <w:ilvl w:val="0"/>
          <w:numId w:val="27"/>
        </w:numPr>
        <w:jc w:val="both"/>
        <w:rPr>
          <w:b/>
          <w:bCs/>
          <w:sz w:val="28"/>
          <w:szCs w:val="28"/>
        </w:rPr>
      </w:pPr>
      <w:r w:rsidRPr="00DC6AD6">
        <w:t>The</w:t>
      </w:r>
      <w:r w:rsidRPr="00DC6AD6">
        <w:rPr>
          <w:b/>
          <w:bCs/>
          <w:sz w:val="28"/>
          <w:szCs w:val="28"/>
        </w:rPr>
        <w:t xml:space="preserve"> </w:t>
      </w:r>
      <w:r w:rsidRPr="00DC6AD6">
        <w:rPr>
          <w:b/>
          <w:bCs/>
        </w:rPr>
        <w:t xml:space="preserve">upper whisker </w:t>
      </w:r>
      <w:r w:rsidRPr="00DC6AD6">
        <w:t>reaches up to about $406, the maximum closing price in the dataset.</w:t>
      </w:r>
    </w:p>
    <w:p w14:paraId="581AF48B" w14:textId="26F38686" w:rsidR="00DC6AD6" w:rsidRDefault="00DC6AD6" w:rsidP="00DC6AD6">
      <w:pPr>
        <w:pStyle w:val="ListParagraph"/>
        <w:numPr>
          <w:ilvl w:val="0"/>
          <w:numId w:val="26"/>
        </w:numPr>
        <w:jc w:val="both"/>
        <w:rPr>
          <w:b/>
          <w:bCs/>
          <w:sz w:val="28"/>
          <w:szCs w:val="28"/>
        </w:rPr>
      </w:pPr>
      <w:r w:rsidRPr="00DC6AD6">
        <w:rPr>
          <w:b/>
          <w:bCs/>
          <w:sz w:val="28"/>
          <w:szCs w:val="28"/>
        </w:rPr>
        <w:t>Symmetry and Skew</w:t>
      </w:r>
      <w:r>
        <w:rPr>
          <w:b/>
          <w:bCs/>
          <w:sz w:val="28"/>
          <w:szCs w:val="28"/>
        </w:rPr>
        <w:t>:</w:t>
      </w:r>
    </w:p>
    <w:p w14:paraId="2F34D287" w14:textId="74ADE51C" w:rsidR="00DC6AD6" w:rsidRPr="00DC6AD6" w:rsidRDefault="00DC6AD6" w:rsidP="00DC6AD6">
      <w:pPr>
        <w:pStyle w:val="ListParagraph"/>
        <w:numPr>
          <w:ilvl w:val="0"/>
          <w:numId w:val="28"/>
        </w:numPr>
      </w:pPr>
      <w:r w:rsidRPr="00DC6AD6">
        <w:rPr>
          <w:sz w:val="22"/>
          <w:szCs w:val="22"/>
        </w:rPr>
        <w:t>The</w:t>
      </w:r>
      <w:r w:rsidRPr="00DC6AD6">
        <w:rPr>
          <w:b/>
          <w:bCs/>
          <w:sz w:val="22"/>
          <w:szCs w:val="22"/>
        </w:rPr>
        <w:t xml:space="preserve"> </w:t>
      </w:r>
      <w:r w:rsidRPr="00DC6AD6">
        <w:rPr>
          <w:b/>
          <w:bCs/>
        </w:rPr>
        <w:t xml:space="preserve">longer upper whisker </w:t>
      </w:r>
      <w:r w:rsidRPr="00DC6AD6">
        <w:t>and off</w:t>
      </w:r>
      <w:r w:rsidRPr="00DC6AD6">
        <w:noBreakHyphen/>
        <w:t>center median both confirm a moderate right skew, driven by a few high‐price spikes during the year.</w:t>
      </w:r>
    </w:p>
    <w:p w14:paraId="4297757A" w14:textId="2AA65980" w:rsidR="00DC6AD6" w:rsidRDefault="00DC6AD6" w:rsidP="00DC6AD6">
      <w:pPr>
        <w:pStyle w:val="ListParagraph"/>
        <w:numPr>
          <w:ilvl w:val="0"/>
          <w:numId w:val="28"/>
        </w:numPr>
      </w:pPr>
      <w:r w:rsidRPr="00DC6AD6">
        <w:t>No individual points are plotted as outliers beyond the whiskers, suggesting the full observed range is treated as part of the typical variation.</w:t>
      </w:r>
    </w:p>
    <w:p w14:paraId="2FE2CCD4" w14:textId="57496A8E" w:rsidR="00DC6AD6" w:rsidRDefault="00C8421C" w:rsidP="00C8421C">
      <w:pPr>
        <w:pStyle w:val="Heading2"/>
        <w:rPr>
          <w:b/>
          <w:bCs/>
        </w:rPr>
      </w:pPr>
      <w:r w:rsidRPr="00C8421C">
        <w:rPr>
          <w:b/>
          <w:bCs/>
        </w:rPr>
        <w:t>Distribution of Close Prices:</w:t>
      </w:r>
    </w:p>
    <w:p w14:paraId="1D042F91" w14:textId="77777777" w:rsidR="00C312D4" w:rsidRDefault="00C8421C" w:rsidP="00C312D4">
      <w:pPr>
        <w:keepNext/>
      </w:pPr>
      <w:r>
        <w:rPr>
          <w:rFonts w:hint="cs"/>
          <w:noProof/>
        </w:rPr>
        <w:drawing>
          <wp:inline distT="0" distB="0" distL="0" distR="0" wp14:anchorId="09B96951" wp14:editId="46820545">
            <wp:extent cx="5731510" cy="3419475"/>
            <wp:effectExtent l="0" t="0" r="2540" b="9525"/>
            <wp:docPr id="11598095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09537" name="Picture 1159809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5A3DF389" w14:textId="38D23113" w:rsidR="00C8421C" w:rsidRDefault="00C312D4" w:rsidP="00C312D4">
      <w:pPr>
        <w:pStyle w:val="Caption"/>
        <w:jc w:val="center"/>
      </w:pPr>
      <w:r>
        <w:t xml:space="preserve">Figure 11, </w:t>
      </w:r>
      <w:r w:rsidRPr="00C312D4">
        <w:t>Distribution of Tesla’s Daily Closing Prices with Histogram &amp; KDE</w:t>
      </w:r>
      <w:r>
        <w:t>.</w:t>
      </w:r>
    </w:p>
    <w:p w14:paraId="78DC0EF1" w14:textId="6DA33BAD" w:rsidR="00C8421C" w:rsidRDefault="00C312D4" w:rsidP="00812746">
      <w:pPr>
        <w:rPr>
          <w:sz w:val="28"/>
          <w:szCs w:val="28"/>
        </w:rPr>
      </w:pPr>
      <w:r w:rsidRPr="00C312D4">
        <w:rPr>
          <w:sz w:val="28"/>
          <w:szCs w:val="28"/>
        </w:rPr>
        <w:t xml:space="preserve">Figure 11 overlays a histogram of Tesla’s daily closing prices (October 2021–October 2022) with a Kernel Density Estimate (KDE), revealing both </w:t>
      </w:r>
      <w:r w:rsidRPr="00C312D4">
        <w:rPr>
          <w:b/>
          <w:bCs/>
          <w:sz w:val="28"/>
          <w:szCs w:val="28"/>
        </w:rPr>
        <w:t>multiple peaks</w:t>
      </w:r>
      <w:r w:rsidRPr="00C312D4">
        <w:rPr>
          <w:sz w:val="28"/>
          <w:szCs w:val="28"/>
        </w:rPr>
        <w:t xml:space="preserve"> (modes) and </w:t>
      </w:r>
      <w:r w:rsidRPr="00C312D4">
        <w:rPr>
          <w:b/>
          <w:bCs/>
          <w:sz w:val="28"/>
          <w:szCs w:val="28"/>
        </w:rPr>
        <w:t>asymmetric tails</w:t>
      </w:r>
      <w:r w:rsidRPr="00C312D4">
        <w:rPr>
          <w:sz w:val="28"/>
          <w:szCs w:val="28"/>
        </w:rPr>
        <w:t>. Below is a comprehensive breakdown</w:t>
      </w:r>
      <w:r>
        <w:rPr>
          <w:sz w:val="28"/>
          <w:szCs w:val="28"/>
        </w:rPr>
        <w:t>.</w:t>
      </w:r>
    </w:p>
    <w:p w14:paraId="0A9A641D" w14:textId="6B2A5A83" w:rsidR="00C312D4" w:rsidRDefault="00C312D4" w:rsidP="00812746">
      <w:pPr>
        <w:pStyle w:val="ListParagraph"/>
        <w:numPr>
          <w:ilvl w:val="0"/>
          <w:numId w:val="29"/>
        </w:numPr>
        <w:rPr>
          <w:b/>
          <w:bCs/>
          <w:sz w:val="28"/>
          <w:szCs w:val="28"/>
        </w:rPr>
      </w:pPr>
      <w:r w:rsidRPr="00C312D4">
        <w:rPr>
          <w:b/>
          <w:bCs/>
          <w:sz w:val="28"/>
          <w:szCs w:val="28"/>
        </w:rPr>
        <w:t>Number and Location of Peaks (Modes)</w:t>
      </w:r>
      <w:r>
        <w:rPr>
          <w:b/>
          <w:bCs/>
          <w:sz w:val="28"/>
          <w:szCs w:val="28"/>
        </w:rPr>
        <w:t>:</w:t>
      </w:r>
    </w:p>
    <w:p w14:paraId="58BBD13D" w14:textId="1AA83C0E" w:rsidR="00812746" w:rsidRDefault="00812746" w:rsidP="00812746">
      <w:pPr>
        <w:pStyle w:val="ListParagraph"/>
        <w:numPr>
          <w:ilvl w:val="0"/>
          <w:numId w:val="31"/>
        </w:numPr>
        <w:rPr>
          <w:b/>
          <w:bCs/>
        </w:rPr>
      </w:pPr>
      <w:r w:rsidRPr="00812746">
        <w:rPr>
          <w:b/>
          <w:bCs/>
        </w:rPr>
        <w:t>Peak 1 (~$230–$240)</w:t>
      </w:r>
      <w:r>
        <w:rPr>
          <w:b/>
          <w:bCs/>
        </w:rPr>
        <w:t>:</w:t>
      </w:r>
    </w:p>
    <w:p w14:paraId="08A6588E" w14:textId="5D783923" w:rsidR="00812746" w:rsidRPr="00812746" w:rsidRDefault="00812746" w:rsidP="00812746">
      <w:pPr>
        <w:pStyle w:val="ListParagraph"/>
        <w:numPr>
          <w:ilvl w:val="0"/>
          <w:numId w:val="32"/>
        </w:numPr>
      </w:pPr>
      <w:r w:rsidRPr="00812746">
        <w:t xml:space="preserve">Corresponds to the market </w:t>
      </w:r>
      <w:proofErr w:type="spellStart"/>
      <w:r w:rsidRPr="00812746">
        <w:t>trough</w:t>
      </w:r>
      <w:proofErr w:type="spellEnd"/>
      <w:r w:rsidRPr="00812746">
        <w:t xml:space="preserve"> around May 2022, when price dropped sharply into the low $200s.</w:t>
      </w:r>
    </w:p>
    <w:p w14:paraId="36D8DAFA" w14:textId="2CDE75E7" w:rsidR="00812746" w:rsidRDefault="00812746" w:rsidP="00812746">
      <w:pPr>
        <w:pStyle w:val="ListParagraph"/>
        <w:numPr>
          <w:ilvl w:val="0"/>
          <w:numId w:val="31"/>
        </w:numPr>
        <w:rPr>
          <w:b/>
          <w:bCs/>
        </w:rPr>
      </w:pPr>
      <w:r w:rsidRPr="00812746">
        <w:rPr>
          <w:b/>
          <w:bCs/>
        </w:rPr>
        <w:t>Peak 2 (~$270–$280)</w:t>
      </w:r>
      <w:r>
        <w:rPr>
          <w:b/>
          <w:bCs/>
        </w:rPr>
        <w:t>:</w:t>
      </w:r>
    </w:p>
    <w:p w14:paraId="48CC7FC5" w14:textId="00F30DC1" w:rsidR="00812746" w:rsidRDefault="00812746" w:rsidP="00812746">
      <w:pPr>
        <w:pStyle w:val="ListParagraph"/>
        <w:numPr>
          <w:ilvl w:val="0"/>
          <w:numId w:val="32"/>
        </w:numPr>
      </w:pPr>
      <w:r w:rsidRPr="00812746">
        <w:t>Reflects a transitional phase during spring recovery (June–July 2022), when prices oscillated in the upper $200s.</w:t>
      </w:r>
    </w:p>
    <w:p w14:paraId="239EADD4" w14:textId="303E1604" w:rsidR="00812746" w:rsidRDefault="00812746" w:rsidP="00812746">
      <w:pPr>
        <w:pStyle w:val="ListParagraph"/>
        <w:numPr>
          <w:ilvl w:val="0"/>
          <w:numId w:val="31"/>
        </w:numPr>
        <w:rPr>
          <w:b/>
          <w:bCs/>
        </w:rPr>
      </w:pPr>
      <w:r w:rsidRPr="00812746">
        <w:rPr>
          <w:b/>
          <w:bCs/>
        </w:rPr>
        <w:t>Peak 3 (~$295–$305) (Highest/Primary Mode):</w:t>
      </w:r>
    </w:p>
    <w:p w14:paraId="56B154DE" w14:textId="0667A608" w:rsidR="00812746" w:rsidRPr="00812746" w:rsidRDefault="00812746" w:rsidP="00812746">
      <w:pPr>
        <w:pStyle w:val="ListParagraph"/>
        <w:numPr>
          <w:ilvl w:val="0"/>
          <w:numId w:val="32"/>
        </w:numPr>
      </w:pPr>
      <w:r w:rsidRPr="00812746">
        <w:t>The most frequent closing price cluster, capturing much of the mid</w:t>
      </w:r>
      <w:r w:rsidRPr="00812746">
        <w:noBreakHyphen/>
        <w:t>period trading range.</w:t>
      </w:r>
    </w:p>
    <w:p w14:paraId="13F43EDE" w14:textId="4FF8DB83" w:rsidR="00812746" w:rsidRDefault="00812746" w:rsidP="00812746">
      <w:pPr>
        <w:pStyle w:val="ListParagraph"/>
        <w:numPr>
          <w:ilvl w:val="0"/>
          <w:numId w:val="32"/>
        </w:numPr>
      </w:pPr>
      <w:r w:rsidRPr="00812746">
        <w:t>Encompasses 30+ trading days, indicating prolonged stability around $300.</w:t>
      </w:r>
    </w:p>
    <w:p w14:paraId="5028196B" w14:textId="241C364C" w:rsidR="00812746" w:rsidRDefault="00812746" w:rsidP="00812746">
      <w:pPr>
        <w:pStyle w:val="ListParagraph"/>
        <w:numPr>
          <w:ilvl w:val="0"/>
          <w:numId w:val="31"/>
        </w:numPr>
        <w:rPr>
          <w:b/>
          <w:bCs/>
        </w:rPr>
      </w:pPr>
      <w:r w:rsidRPr="00812746">
        <w:rPr>
          <w:b/>
          <w:bCs/>
        </w:rPr>
        <w:t>Peak 4 (~$350–$360)</w:t>
      </w:r>
      <w:r>
        <w:rPr>
          <w:b/>
          <w:bCs/>
        </w:rPr>
        <w:t>:</w:t>
      </w:r>
    </w:p>
    <w:p w14:paraId="7FD871BB" w14:textId="2E4E03E7" w:rsidR="00812746" w:rsidRDefault="00812746" w:rsidP="00812746">
      <w:pPr>
        <w:pStyle w:val="ListParagraph"/>
        <w:numPr>
          <w:ilvl w:val="0"/>
          <w:numId w:val="34"/>
        </w:numPr>
      </w:pPr>
      <w:r w:rsidRPr="00812746">
        <w:t>A secondary high</w:t>
      </w:r>
      <w:r w:rsidRPr="00812746">
        <w:noBreakHyphen/>
        <w:t>price cluster, representing shorter-lived rallies in late 2021 and occasional summer spikes.</w:t>
      </w:r>
    </w:p>
    <w:p w14:paraId="63863849" w14:textId="77777777" w:rsidR="00572E50" w:rsidRDefault="00572E50" w:rsidP="00572E50">
      <w:pPr>
        <w:pStyle w:val="NoSpacing"/>
        <w:jc w:val="both"/>
        <w:rPr>
          <w:sz w:val="28"/>
          <w:szCs w:val="28"/>
        </w:rPr>
      </w:pPr>
    </w:p>
    <w:p w14:paraId="24C89D83" w14:textId="7EF096EC" w:rsidR="00572E50" w:rsidRPr="00812746" w:rsidRDefault="00572E50" w:rsidP="00572E50">
      <w:pPr>
        <w:pStyle w:val="NoSpacing"/>
        <w:jc w:val="both"/>
        <w:rPr>
          <w:sz w:val="28"/>
          <w:szCs w:val="28"/>
        </w:rPr>
      </w:pPr>
      <w:r>
        <w:rPr>
          <w:sz w:val="28"/>
          <w:szCs w:val="28"/>
        </w:rPr>
        <w:t xml:space="preserve">In </w:t>
      </w:r>
      <w:r w:rsidRPr="00572E50">
        <w:rPr>
          <w:b/>
          <w:bCs/>
          <w:sz w:val="28"/>
          <w:szCs w:val="28"/>
        </w:rPr>
        <w:t>Summary</w:t>
      </w:r>
      <w:r>
        <w:rPr>
          <w:sz w:val="28"/>
          <w:szCs w:val="28"/>
        </w:rPr>
        <w:t>, f</w:t>
      </w:r>
      <w:r w:rsidRPr="00572E50">
        <w:rPr>
          <w:sz w:val="28"/>
          <w:szCs w:val="28"/>
        </w:rPr>
        <w:t xml:space="preserve">igure 11’s KDE reveals </w:t>
      </w:r>
      <w:r w:rsidRPr="00572E50">
        <w:rPr>
          <w:b/>
          <w:bCs/>
          <w:sz w:val="28"/>
          <w:szCs w:val="28"/>
        </w:rPr>
        <w:t>four key price clusters</w:t>
      </w:r>
      <w:r w:rsidRPr="00572E50">
        <w:rPr>
          <w:sz w:val="28"/>
          <w:szCs w:val="28"/>
        </w:rPr>
        <w:t xml:space="preserve"> at $230–240, $270–280, $295–305 (primary), and $350–360. The distribution is </w:t>
      </w:r>
      <w:r w:rsidRPr="00572E50">
        <w:rPr>
          <w:b/>
          <w:bCs/>
          <w:sz w:val="28"/>
          <w:szCs w:val="28"/>
        </w:rPr>
        <w:t>moderately right</w:t>
      </w:r>
      <w:r w:rsidRPr="00572E50">
        <w:rPr>
          <w:b/>
          <w:bCs/>
          <w:sz w:val="28"/>
          <w:szCs w:val="28"/>
        </w:rPr>
        <w:noBreakHyphen/>
        <w:t>skewed</w:t>
      </w:r>
      <w:r w:rsidRPr="00572E50">
        <w:rPr>
          <w:sz w:val="28"/>
          <w:szCs w:val="28"/>
        </w:rPr>
        <w:t>—the right tail extends further, indicating occasional high</w:t>
      </w:r>
      <w:r w:rsidRPr="00572E50">
        <w:rPr>
          <w:sz w:val="28"/>
          <w:szCs w:val="28"/>
        </w:rPr>
        <w:noBreakHyphen/>
        <w:t>price spikes, while the left tail drops off steeply around the May 2022 trough. This multimodal pattern reflects several distinct market regimes throughout the year.</w:t>
      </w:r>
    </w:p>
    <w:sectPr w:rsidR="00572E50" w:rsidRPr="00812746" w:rsidSect="002336E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346"/>
    <w:multiLevelType w:val="hybridMultilevel"/>
    <w:tmpl w:val="8D40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1BCC"/>
    <w:multiLevelType w:val="multilevel"/>
    <w:tmpl w:val="15AA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44337"/>
    <w:multiLevelType w:val="hybridMultilevel"/>
    <w:tmpl w:val="2EFCD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2640A7"/>
    <w:multiLevelType w:val="hybridMultilevel"/>
    <w:tmpl w:val="B56A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B7EAB"/>
    <w:multiLevelType w:val="hybridMultilevel"/>
    <w:tmpl w:val="8DF80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13AD4"/>
    <w:multiLevelType w:val="hybridMultilevel"/>
    <w:tmpl w:val="40742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967A5"/>
    <w:multiLevelType w:val="hybridMultilevel"/>
    <w:tmpl w:val="CF9E6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D2E9F"/>
    <w:multiLevelType w:val="hybridMultilevel"/>
    <w:tmpl w:val="71D80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70CBB"/>
    <w:multiLevelType w:val="hybridMultilevel"/>
    <w:tmpl w:val="437E9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703931"/>
    <w:multiLevelType w:val="hybridMultilevel"/>
    <w:tmpl w:val="9E50E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143F81"/>
    <w:multiLevelType w:val="hybridMultilevel"/>
    <w:tmpl w:val="D83E845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625B6E"/>
    <w:multiLevelType w:val="hybridMultilevel"/>
    <w:tmpl w:val="D93A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7C3E5E"/>
    <w:multiLevelType w:val="hybridMultilevel"/>
    <w:tmpl w:val="A4388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01414A"/>
    <w:multiLevelType w:val="hybridMultilevel"/>
    <w:tmpl w:val="E76CD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264D84"/>
    <w:multiLevelType w:val="multilevel"/>
    <w:tmpl w:val="2AA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247DB"/>
    <w:multiLevelType w:val="hybridMultilevel"/>
    <w:tmpl w:val="643A6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797BDF"/>
    <w:multiLevelType w:val="hybridMultilevel"/>
    <w:tmpl w:val="55483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1165E8"/>
    <w:multiLevelType w:val="hybridMultilevel"/>
    <w:tmpl w:val="3544C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867036"/>
    <w:multiLevelType w:val="hybridMultilevel"/>
    <w:tmpl w:val="429E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85738"/>
    <w:multiLevelType w:val="hybridMultilevel"/>
    <w:tmpl w:val="9BF6D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292E14"/>
    <w:multiLevelType w:val="multilevel"/>
    <w:tmpl w:val="CBD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57723"/>
    <w:multiLevelType w:val="hybridMultilevel"/>
    <w:tmpl w:val="92A0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01333"/>
    <w:multiLevelType w:val="hybridMultilevel"/>
    <w:tmpl w:val="19648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FF0F75"/>
    <w:multiLevelType w:val="multilevel"/>
    <w:tmpl w:val="6B4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B183C"/>
    <w:multiLevelType w:val="hybridMultilevel"/>
    <w:tmpl w:val="6404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14469"/>
    <w:multiLevelType w:val="hybridMultilevel"/>
    <w:tmpl w:val="69BC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00738"/>
    <w:multiLevelType w:val="hybridMultilevel"/>
    <w:tmpl w:val="1ED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D149A"/>
    <w:multiLevelType w:val="hybridMultilevel"/>
    <w:tmpl w:val="FC2A5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F003FA"/>
    <w:multiLevelType w:val="hybridMultilevel"/>
    <w:tmpl w:val="041C0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C325A2"/>
    <w:multiLevelType w:val="hybridMultilevel"/>
    <w:tmpl w:val="A2C83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73608D"/>
    <w:multiLevelType w:val="hybridMultilevel"/>
    <w:tmpl w:val="A9FA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85B8F"/>
    <w:multiLevelType w:val="hybridMultilevel"/>
    <w:tmpl w:val="A4E0A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90DF5"/>
    <w:multiLevelType w:val="hybridMultilevel"/>
    <w:tmpl w:val="1F1CB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572A77"/>
    <w:multiLevelType w:val="hybridMultilevel"/>
    <w:tmpl w:val="EF288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725488">
    <w:abstractNumId w:val="6"/>
  </w:num>
  <w:num w:numId="2" w16cid:durableId="315299502">
    <w:abstractNumId w:val="18"/>
  </w:num>
  <w:num w:numId="3" w16cid:durableId="579408798">
    <w:abstractNumId w:val="21"/>
  </w:num>
  <w:num w:numId="4" w16cid:durableId="1236162211">
    <w:abstractNumId w:val="26"/>
  </w:num>
  <w:num w:numId="5" w16cid:durableId="1197161910">
    <w:abstractNumId w:val="12"/>
  </w:num>
  <w:num w:numId="6" w16cid:durableId="1568495188">
    <w:abstractNumId w:val="7"/>
  </w:num>
  <w:num w:numId="7" w16cid:durableId="1292899638">
    <w:abstractNumId w:val="27"/>
  </w:num>
  <w:num w:numId="8" w16cid:durableId="961115904">
    <w:abstractNumId w:val="8"/>
  </w:num>
  <w:num w:numId="9" w16cid:durableId="1129126342">
    <w:abstractNumId w:val="29"/>
  </w:num>
  <w:num w:numId="10" w16cid:durableId="1987733919">
    <w:abstractNumId w:val="31"/>
  </w:num>
  <w:num w:numId="11" w16cid:durableId="1075475977">
    <w:abstractNumId w:val="32"/>
  </w:num>
  <w:num w:numId="12" w16cid:durableId="1088620147">
    <w:abstractNumId w:val="4"/>
  </w:num>
  <w:num w:numId="13" w16cid:durableId="1780566710">
    <w:abstractNumId w:val="28"/>
  </w:num>
  <w:num w:numId="14" w16cid:durableId="1221556930">
    <w:abstractNumId w:val="0"/>
  </w:num>
  <w:num w:numId="15" w16cid:durableId="1927689708">
    <w:abstractNumId w:val="22"/>
  </w:num>
  <w:num w:numId="16" w16cid:durableId="736779234">
    <w:abstractNumId w:val="19"/>
  </w:num>
  <w:num w:numId="17" w16cid:durableId="332028654">
    <w:abstractNumId w:val="13"/>
  </w:num>
  <w:num w:numId="18" w16cid:durableId="136840389">
    <w:abstractNumId w:val="11"/>
  </w:num>
  <w:num w:numId="19" w16cid:durableId="1292319111">
    <w:abstractNumId w:val="1"/>
  </w:num>
  <w:num w:numId="20" w16cid:durableId="2090224402">
    <w:abstractNumId w:val="25"/>
  </w:num>
  <w:num w:numId="21" w16cid:durableId="1483428886">
    <w:abstractNumId w:val="14"/>
  </w:num>
  <w:num w:numId="22" w16cid:durableId="660931066">
    <w:abstractNumId w:val="20"/>
  </w:num>
  <w:num w:numId="23" w16cid:durableId="95516251">
    <w:abstractNumId w:val="3"/>
  </w:num>
  <w:num w:numId="24" w16cid:durableId="2054844914">
    <w:abstractNumId w:val="15"/>
  </w:num>
  <w:num w:numId="25" w16cid:durableId="1531258716">
    <w:abstractNumId w:val="16"/>
  </w:num>
  <w:num w:numId="26" w16cid:durableId="411970441">
    <w:abstractNumId w:val="30"/>
  </w:num>
  <w:num w:numId="27" w16cid:durableId="1201283957">
    <w:abstractNumId w:val="33"/>
  </w:num>
  <w:num w:numId="28" w16cid:durableId="132913750">
    <w:abstractNumId w:val="9"/>
  </w:num>
  <w:num w:numId="29" w16cid:durableId="51387007">
    <w:abstractNumId w:val="24"/>
  </w:num>
  <w:num w:numId="30" w16cid:durableId="1548834128">
    <w:abstractNumId w:val="5"/>
  </w:num>
  <w:num w:numId="31" w16cid:durableId="1922175704">
    <w:abstractNumId w:val="10"/>
  </w:num>
  <w:num w:numId="32" w16cid:durableId="1140076767">
    <w:abstractNumId w:val="2"/>
  </w:num>
  <w:num w:numId="33" w16cid:durableId="544178087">
    <w:abstractNumId w:val="23"/>
  </w:num>
  <w:num w:numId="34" w16cid:durableId="5548967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BD"/>
    <w:rsid w:val="001F1175"/>
    <w:rsid w:val="002336E9"/>
    <w:rsid w:val="003E1AA1"/>
    <w:rsid w:val="00407FC5"/>
    <w:rsid w:val="004C3BB8"/>
    <w:rsid w:val="00540D68"/>
    <w:rsid w:val="00572E50"/>
    <w:rsid w:val="005763FF"/>
    <w:rsid w:val="005967E4"/>
    <w:rsid w:val="005B209E"/>
    <w:rsid w:val="007960EF"/>
    <w:rsid w:val="00812746"/>
    <w:rsid w:val="008B3F05"/>
    <w:rsid w:val="00967A4C"/>
    <w:rsid w:val="00AC2567"/>
    <w:rsid w:val="00B8653A"/>
    <w:rsid w:val="00BA74E4"/>
    <w:rsid w:val="00BD72E6"/>
    <w:rsid w:val="00C15EBD"/>
    <w:rsid w:val="00C312D4"/>
    <w:rsid w:val="00C80B15"/>
    <w:rsid w:val="00C8421C"/>
    <w:rsid w:val="00CB1B67"/>
    <w:rsid w:val="00D755B7"/>
    <w:rsid w:val="00DC6AD6"/>
    <w:rsid w:val="00E05FEC"/>
    <w:rsid w:val="00E650CF"/>
    <w:rsid w:val="00F12C4D"/>
    <w:rsid w:val="00F6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A932"/>
  <w15:chartTrackingRefBased/>
  <w15:docId w15:val="{93E20CDE-0B20-4E5D-AAC6-CA55B99D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5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5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EBD"/>
    <w:rPr>
      <w:rFonts w:eastAsiaTheme="majorEastAsia" w:cstheme="majorBidi"/>
      <w:color w:val="272727" w:themeColor="text1" w:themeTint="D8"/>
    </w:rPr>
  </w:style>
  <w:style w:type="paragraph" w:styleId="Title">
    <w:name w:val="Title"/>
    <w:basedOn w:val="Normal"/>
    <w:next w:val="Normal"/>
    <w:link w:val="TitleChar"/>
    <w:uiPriority w:val="10"/>
    <w:qFormat/>
    <w:rsid w:val="00C15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EBD"/>
    <w:pPr>
      <w:spacing w:before="160"/>
      <w:jc w:val="center"/>
    </w:pPr>
    <w:rPr>
      <w:i/>
      <w:iCs/>
      <w:color w:val="404040" w:themeColor="text1" w:themeTint="BF"/>
    </w:rPr>
  </w:style>
  <w:style w:type="character" w:customStyle="1" w:styleId="QuoteChar">
    <w:name w:val="Quote Char"/>
    <w:basedOn w:val="DefaultParagraphFont"/>
    <w:link w:val="Quote"/>
    <w:uiPriority w:val="29"/>
    <w:rsid w:val="00C15EBD"/>
    <w:rPr>
      <w:i/>
      <w:iCs/>
      <w:color w:val="404040" w:themeColor="text1" w:themeTint="BF"/>
    </w:rPr>
  </w:style>
  <w:style w:type="paragraph" w:styleId="ListParagraph">
    <w:name w:val="List Paragraph"/>
    <w:basedOn w:val="Normal"/>
    <w:uiPriority w:val="34"/>
    <w:qFormat/>
    <w:rsid w:val="00C15EBD"/>
    <w:pPr>
      <w:ind w:left="720"/>
      <w:contextualSpacing/>
    </w:pPr>
  </w:style>
  <w:style w:type="character" w:styleId="IntenseEmphasis">
    <w:name w:val="Intense Emphasis"/>
    <w:basedOn w:val="DefaultParagraphFont"/>
    <w:uiPriority w:val="21"/>
    <w:qFormat/>
    <w:rsid w:val="00C15EBD"/>
    <w:rPr>
      <w:i/>
      <w:iCs/>
      <w:color w:val="2F5496" w:themeColor="accent1" w:themeShade="BF"/>
    </w:rPr>
  </w:style>
  <w:style w:type="paragraph" w:styleId="IntenseQuote">
    <w:name w:val="Intense Quote"/>
    <w:basedOn w:val="Normal"/>
    <w:next w:val="Normal"/>
    <w:link w:val="IntenseQuoteChar"/>
    <w:uiPriority w:val="30"/>
    <w:qFormat/>
    <w:rsid w:val="00C15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EBD"/>
    <w:rPr>
      <w:i/>
      <w:iCs/>
      <w:color w:val="2F5496" w:themeColor="accent1" w:themeShade="BF"/>
    </w:rPr>
  </w:style>
  <w:style w:type="character" w:styleId="IntenseReference">
    <w:name w:val="Intense Reference"/>
    <w:basedOn w:val="DefaultParagraphFont"/>
    <w:uiPriority w:val="32"/>
    <w:qFormat/>
    <w:rsid w:val="00C15EBD"/>
    <w:rPr>
      <w:b/>
      <w:bCs/>
      <w:smallCaps/>
      <w:color w:val="2F5496" w:themeColor="accent1" w:themeShade="BF"/>
      <w:spacing w:val="5"/>
    </w:rPr>
  </w:style>
  <w:style w:type="paragraph" w:styleId="Caption">
    <w:name w:val="caption"/>
    <w:basedOn w:val="Normal"/>
    <w:next w:val="Normal"/>
    <w:uiPriority w:val="35"/>
    <w:unhideWhenUsed/>
    <w:qFormat/>
    <w:rsid w:val="005B209E"/>
    <w:pPr>
      <w:spacing w:after="200" w:line="240" w:lineRule="auto"/>
    </w:pPr>
    <w:rPr>
      <w:i/>
      <w:iCs/>
      <w:color w:val="44546A" w:themeColor="text2"/>
      <w:sz w:val="18"/>
      <w:szCs w:val="18"/>
    </w:rPr>
  </w:style>
  <w:style w:type="table" w:styleId="TableGrid">
    <w:name w:val="Table Grid"/>
    <w:basedOn w:val="TableNormal"/>
    <w:uiPriority w:val="39"/>
    <w:rsid w:val="00967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63FF"/>
    <w:rPr>
      <w:sz w:val="16"/>
      <w:szCs w:val="16"/>
    </w:rPr>
  </w:style>
  <w:style w:type="paragraph" w:styleId="CommentText">
    <w:name w:val="annotation text"/>
    <w:basedOn w:val="Normal"/>
    <w:link w:val="CommentTextChar"/>
    <w:uiPriority w:val="99"/>
    <w:semiHidden/>
    <w:unhideWhenUsed/>
    <w:rsid w:val="005763FF"/>
    <w:pPr>
      <w:spacing w:line="240" w:lineRule="auto"/>
    </w:pPr>
    <w:rPr>
      <w:sz w:val="20"/>
      <w:szCs w:val="20"/>
    </w:rPr>
  </w:style>
  <w:style w:type="character" w:customStyle="1" w:styleId="CommentTextChar">
    <w:name w:val="Comment Text Char"/>
    <w:basedOn w:val="DefaultParagraphFont"/>
    <w:link w:val="CommentText"/>
    <w:uiPriority w:val="99"/>
    <w:semiHidden/>
    <w:rsid w:val="005763FF"/>
    <w:rPr>
      <w:sz w:val="20"/>
      <w:szCs w:val="20"/>
    </w:rPr>
  </w:style>
  <w:style w:type="paragraph" w:styleId="CommentSubject">
    <w:name w:val="annotation subject"/>
    <w:basedOn w:val="CommentText"/>
    <w:next w:val="CommentText"/>
    <w:link w:val="CommentSubjectChar"/>
    <w:uiPriority w:val="99"/>
    <w:semiHidden/>
    <w:unhideWhenUsed/>
    <w:rsid w:val="005763FF"/>
    <w:rPr>
      <w:b/>
      <w:bCs/>
    </w:rPr>
  </w:style>
  <w:style w:type="character" w:customStyle="1" w:styleId="CommentSubjectChar">
    <w:name w:val="Comment Subject Char"/>
    <w:basedOn w:val="CommentTextChar"/>
    <w:link w:val="CommentSubject"/>
    <w:uiPriority w:val="99"/>
    <w:semiHidden/>
    <w:rsid w:val="005763FF"/>
    <w:rPr>
      <w:b/>
      <w:bCs/>
      <w:sz w:val="20"/>
      <w:szCs w:val="20"/>
    </w:rPr>
  </w:style>
  <w:style w:type="paragraph" w:styleId="NoSpacing">
    <w:name w:val="No Spacing"/>
    <w:uiPriority w:val="1"/>
    <w:qFormat/>
    <w:rsid w:val="00812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84874">
      <w:bodyDiv w:val="1"/>
      <w:marLeft w:val="0"/>
      <w:marRight w:val="0"/>
      <w:marTop w:val="0"/>
      <w:marBottom w:val="0"/>
      <w:divBdr>
        <w:top w:val="none" w:sz="0" w:space="0" w:color="auto"/>
        <w:left w:val="none" w:sz="0" w:space="0" w:color="auto"/>
        <w:bottom w:val="none" w:sz="0" w:space="0" w:color="auto"/>
        <w:right w:val="none" w:sz="0" w:space="0" w:color="auto"/>
      </w:divBdr>
    </w:div>
    <w:div w:id="161313743">
      <w:bodyDiv w:val="1"/>
      <w:marLeft w:val="0"/>
      <w:marRight w:val="0"/>
      <w:marTop w:val="0"/>
      <w:marBottom w:val="0"/>
      <w:divBdr>
        <w:top w:val="none" w:sz="0" w:space="0" w:color="auto"/>
        <w:left w:val="none" w:sz="0" w:space="0" w:color="auto"/>
        <w:bottom w:val="none" w:sz="0" w:space="0" w:color="auto"/>
        <w:right w:val="none" w:sz="0" w:space="0" w:color="auto"/>
      </w:divBdr>
    </w:div>
    <w:div w:id="212011854">
      <w:bodyDiv w:val="1"/>
      <w:marLeft w:val="0"/>
      <w:marRight w:val="0"/>
      <w:marTop w:val="0"/>
      <w:marBottom w:val="0"/>
      <w:divBdr>
        <w:top w:val="none" w:sz="0" w:space="0" w:color="auto"/>
        <w:left w:val="none" w:sz="0" w:space="0" w:color="auto"/>
        <w:bottom w:val="none" w:sz="0" w:space="0" w:color="auto"/>
        <w:right w:val="none" w:sz="0" w:space="0" w:color="auto"/>
      </w:divBdr>
    </w:div>
    <w:div w:id="344134509">
      <w:bodyDiv w:val="1"/>
      <w:marLeft w:val="0"/>
      <w:marRight w:val="0"/>
      <w:marTop w:val="0"/>
      <w:marBottom w:val="0"/>
      <w:divBdr>
        <w:top w:val="none" w:sz="0" w:space="0" w:color="auto"/>
        <w:left w:val="none" w:sz="0" w:space="0" w:color="auto"/>
        <w:bottom w:val="none" w:sz="0" w:space="0" w:color="auto"/>
        <w:right w:val="none" w:sz="0" w:space="0" w:color="auto"/>
      </w:divBdr>
    </w:div>
    <w:div w:id="521013287">
      <w:bodyDiv w:val="1"/>
      <w:marLeft w:val="0"/>
      <w:marRight w:val="0"/>
      <w:marTop w:val="0"/>
      <w:marBottom w:val="0"/>
      <w:divBdr>
        <w:top w:val="none" w:sz="0" w:space="0" w:color="auto"/>
        <w:left w:val="none" w:sz="0" w:space="0" w:color="auto"/>
        <w:bottom w:val="none" w:sz="0" w:space="0" w:color="auto"/>
        <w:right w:val="none" w:sz="0" w:space="0" w:color="auto"/>
      </w:divBdr>
    </w:div>
    <w:div w:id="565605115">
      <w:bodyDiv w:val="1"/>
      <w:marLeft w:val="0"/>
      <w:marRight w:val="0"/>
      <w:marTop w:val="0"/>
      <w:marBottom w:val="0"/>
      <w:divBdr>
        <w:top w:val="none" w:sz="0" w:space="0" w:color="auto"/>
        <w:left w:val="none" w:sz="0" w:space="0" w:color="auto"/>
        <w:bottom w:val="none" w:sz="0" w:space="0" w:color="auto"/>
        <w:right w:val="none" w:sz="0" w:space="0" w:color="auto"/>
      </w:divBdr>
    </w:div>
    <w:div w:id="614406232">
      <w:bodyDiv w:val="1"/>
      <w:marLeft w:val="0"/>
      <w:marRight w:val="0"/>
      <w:marTop w:val="0"/>
      <w:marBottom w:val="0"/>
      <w:divBdr>
        <w:top w:val="none" w:sz="0" w:space="0" w:color="auto"/>
        <w:left w:val="none" w:sz="0" w:space="0" w:color="auto"/>
        <w:bottom w:val="none" w:sz="0" w:space="0" w:color="auto"/>
        <w:right w:val="none" w:sz="0" w:space="0" w:color="auto"/>
      </w:divBdr>
    </w:div>
    <w:div w:id="633682191">
      <w:bodyDiv w:val="1"/>
      <w:marLeft w:val="0"/>
      <w:marRight w:val="0"/>
      <w:marTop w:val="0"/>
      <w:marBottom w:val="0"/>
      <w:divBdr>
        <w:top w:val="none" w:sz="0" w:space="0" w:color="auto"/>
        <w:left w:val="none" w:sz="0" w:space="0" w:color="auto"/>
        <w:bottom w:val="none" w:sz="0" w:space="0" w:color="auto"/>
        <w:right w:val="none" w:sz="0" w:space="0" w:color="auto"/>
      </w:divBdr>
      <w:divsChild>
        <w:div w:id="1608000178">
          <w:marLeft w:val="0"/>
          <w:marRight w:val="0"/>
          <w:marTop w:val="0"/>
          <w:marBottom w:val="0"/>
          <w:divBdr>
            <w:top w:val="none" w:sz="0" w:space="0" w:color="auto"/>
            <w:left w:val="none" w:sz="0" w:space="0" w:color="auto"/>
            <w:bottom w:val="none" w:sz="0" w:space="0" w:color="auto"/>
            <w:right w:val="none" w:sz="0" w:space="0" w:color="auto"/>
          </w:divBdr>
          <w:divsChild>
            <w:div w:id="13381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139">
      <w:bodyDiv w:val="1"/>
      <w:marLeft w:val="0"/>
      <w:marRight w:val="0"/>
      <w:marTop w:val="0"/>
      <w:marBottom w:val="0"/>
      <w:divBdr>
        <w:top w:val="none" w:sz="0" w:space="0" w:color="auto"/>
        <w:left w:val="none" w:sz="0" w:space="0" w:color="auto"/>
        <w:bottom w:val="none" w:sz="0" w:space="0" w:color="auto"/>
        <w:right w:val="none" w:sz="0" w:space="0" w:color="auto"/>
      </w:divBdr>
      <w:divsChild>
        <w:div w:id="552354762">
          <w:marLeft w:val="0"/>
          <w:marRight w:val="0"/>
          <w:marTop w:val="0"/>
          <w:marBottom w:val="0"/>
          <w:divBdr>
            <w:top w:val="none" w:sz="0" w:space="0" w:color="auto"/>
            <w:left w:val="none" w:sz="0" w:space="0" w:color="auto"/>
            <w:bottom w:val="none" w:sz="0" w:space="0" w:color="auto"/>
            <w:right w:val="none" w:sz="0" w:space="0" w:color="auto"/>
          </w:divBdr>
          <w:divsChild>
            <w:div w:id="663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0749">
      <w:bodyDiv w:val="1"/>
      <w:marLeft w:val="0"/>
      <w:marRight w:val="0"/>
      <w:marTop w:val="0"/>
      <w:marBottom w:val="0"/>
      <w:divBdr>
        <w:top w:val="none" w:sz="0" w:space="0" w:color="auto"/>
        <w:left w:val="none" w:sz="0" w:space="0" w:color="auto"/>
        <w:bottom w:val="none" w:sz="0" w:space="0" w:color="auto"/>
        <w:right w:val="none" w:sz="0" w:space="0" w:color="auto"/>
      </w:divBdr>
    </w:div>
    <w:div w:id="682130945">
      <w:bodyDiv w:val="1"/>
      <w:marLeft w:val="0"/>
      <w:marRight w:val="0"/>
      <w:marTop w:val="0"/>
      <w:marBottom w:val="0"/>
      <w:divBdr>
        <w:top w:val="none" w:sz="0" w:space="0" w:color="auto"/>
        <w:left w:val="none" w:sz="0" w:space="0" w:color="auto"/>
        <w:bottom w:val="none" w:sz="0" w:space="0" w:color="auto"/>
        <w:right w:val="none" w:sz="0" w:space="0" w:color="auto"/>
      </w:divBdr>
    </w:div>
    <w:div w:id="812874677">
      <w:bodyDiv w:val="1"/>
      <w:marLeft w:val="0"/>
      <w:marRight w:val="0"/>
      <w:marTop w:val="0"/>
      <w:marBottom w:val="0"/>
      <w:divBdr>
        <w:top w:val="none" w:sz="0" w:space="0" w:color="auto"/>
        <w:left w:val="none" w:sz="0" w:space="0" w:color="auto"/>
        <w:bottom w:val="none" w:sz="0" w:space="0" w:color="auto"/>
        <w:right w:val="none" w:sz="0" w:space="0" w:color="auto"/>
      </w:divBdr>
      <w:divsChild>
        <w:div w:id="1485048500">
          <w:marLeft w:val="0"/>
          <w:marRight w:val="0"/>
          <w:marTop w:val="0"/>
          <w:marBottom w:val="0"/>
          <w:divBdr>
            <w:top w:val="none" w:sz="0" w:space="0" w:color="auto"/>
            <w:left w:val="none" w:sz="0" w:space="0" w:color="auto"/>
            <w:bottom w:val="none" w:sz="0" w:space="0" w:color="auto"/>
            <w:right w:val="none" w:sz="0" w:space="0" w:color="auto"/>
          </w:divBdr>
          <w:divsChild>
            <w:div w:id="4237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191">
      <w:bodyDiv w:val="1"/>
      <w:marLeft w:val="0"/>
      <w:marRight w:val="0"/>
      <w:marTop w:val="0"/>
      <w:marBottom w:val="0"/>
      <w:divBdr>
        <w:top w:val="none" w:sz="0" w:space="0" w:color="auto"/>
        <w:left w:val="none" w:sz="0" w:space="0" w:color="auto"/>
        <w:bottom w:val="none" w:sz="0" w:space="0" w:color="auto"/>
        <w:right w:val="none" w:sz="0" w:space="0" w:color="auto"/>
      </w:divBdr>
    </w:div>
    <w:div w:id="914240969">
      <w:bodyDiv w:val="1"/>
      <w:marLeft w:val="0"/>
      <w:marRight w:val="0"/>
      <w:marTop w:val="0"/>
      <w:marBottom w:val="0"/>
      <w:divBdr>
        <w:top w:val="none" w:sz="0" w:space="0" w:color="auto"/>
        <w:left w:val="none" w:sz="0" w:space="0" w:color="auto"/>
        <w:bottom w:val="none" w:sz="0" w:space="0" w:color="auto"/>
        <w:right w:val="none" w:sz="0" w:space="0" w:color="auto"/>
      </w:divBdr>
    </w:div>
    <w:div w:id="1082870684">
      <w:bodyDiv w:val="1"/>
      <w:marLeft w:val="0"/>
      <w:marRight w:val="0"/>
      <w:marTop w:val="0"/>
      <w:marBottom w:val="0"/>
      <w:divBdr>
        <w:top w:val="none" w:sz="0" w:space="0" w:color="auto"/>
        <w:left w:val="none" w:sz="0" w:space="0" w:color="auto"/>
        <w:bottom w:val="none" w:sz="0" w:space="0" w:color="auto"/>
        <w:right w:val="none" w:sz="0" w:space="0" w:color="auto"/>
      </w:divBdr>
    </w:div>
    <w:div w:id="1219242448">
      <w:bodyDiv w:val="1"/>
      <w:marLeft w:val="0"/>
      <w:marRight w:val="0"/>
      <w:marTop w:val="0"/>
      <w:marBottom w:val="0"/>
      <w:divBdr>
        <w:top w:val="none" w:sz="0" w:space="0" w:color="auto"/>
        <w:left w:val="none" w:sz="0" w:space="0" w:color="auto"/>
        <w:bottom w:val="none" w:sz="0" w:space="0" w:color="auto"/>
        <w:right w:val="none" w:sz="0" w:space="0" w:color="auto"/>
      </w:divBdr>
    </w:div>
    <w:div w:id="1327786694">
      <w:bodyDiv w:val="1"/>
      <w:marLeft w:val="0"/>
      <w:marRight w:val="0"/>
      <w:marTop w:val="0"/>
      <w:marBottom w:val="0"/>
      <w:divBdr>
        <w:top w:val="none" w:sz="0" w:space="0" w:color="auto"/>
        <w:left w:val="none" w:sz="0" w:space="0" w:color="auto"/>
        <w:bottom w:val="none" w:sz="0" w:space="0" w:color="auto"/>
        <w:right w:val="none" w:sz="0" w:space="0" w:color="auto"/>
      </w:divBdr>
    </w:div>
    <w:div w:id="1354726464">
      <w:bodyDiv w:val="1"/>
      <w:marLeft w:val="0"/>
      <w:marRight w:val="0"/>
      <w:marTop w:val="0"/>
      <w:marBottom w:val="0"/>
      <w:divBdr>
        <w:top w:val="none" w:sz="0" w:space="0" w:color="auto"/>
        <w:left w:val="none" w:sz="0" w:space="0" w:color="auto"/>
        <w:bottom w:val="none" w:sz="0" w:space="0" w:color="auto"/>
        <w:right w:val="none" w:sz="0" w:space="0" w:color="auto"/>
      </w:divBdr>
    </w:div>
    <w:div w:id="1366175752">
      <w:bodyDiv w:val="1"/>
      <w:marLeft w:val="0"/>
      <w:marRight w:val="0"/>
      <w:marTop w:val="0"/>
      <w:marBottom w:val="0"/>
      <w:divBdr>
        <w:top w:val="none" w:sz="0" w:space="0" w:color="auto"/>
        <w:left w:val="none" w:sz="0" w:space="0" w:color="auto"/>
        <w:bottom w:val="none" w:sz="0" w:space="0" w:color="auto"/>
        <w:right w:val="none" w:sz="0" w:space="0" w:color="auto"/>
      </w:divBdr>
      <w:divsChild>
        <w:div w:id="2100442615">
          <w:marLeft w:val="0"/>
          <w:marRight w:val="0"/>
          <w:marTop w:val="0"/>
          <w:marBottom w:val="0"/>
          <w:divBdr>
            <w:top w:val="none" w:sz="0" w:space="0" w:color="auto"/>
            <w:left w:val="none" w:sz="0" w:space="0" w:color="auto"/>
            <w:bottom w:val="none" w:sz="0" w:space="0" w:color="auto"/>
            <w:right w:val="none" w:sz="0" w:space="0" w:color="auto"/>
          </w:divBdr>
          <w:divsChild>
            <w:div w:id="1987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9677">
      <w:bodyDiv w:val="1"/>
      <w:marLeft w:val="0"/>
      <w:marRight w:val="0"/>
      <w:marTop w:val="0"/>
      <w:marBottom w:val="0"/>
      <w:divBdr>
        <w:top w:val="none" w:sz="0" w:space="0" w:color="auto"/>
        <w:left w:val="none" w:sz="0" w:space="0" w:color="auto"/>
        <w:bottom w:val="none" w:sz="0" w:space="0" w:color="auto"/>
        <w:right w:val="none" w:sz="0" w:space="0" w:color="auto"/>
      </w:divBdr>
    </w:div>
    <w:div w:id="1472210178">
      <w:bodyDiv w:val="1"/>
      <w:marLeft w:val="0"/>
      <w:marRight w:val="0"/>
      <w:marTop w:val="0"/>
      <w:marBottom w:val="0"/>
      <w:divBdr>
        <w:top w:val="none" w:sz="0" w:space="0" w:color="auto"/>
        <w:left w:val="none" w:sz="0" w:space="0" w:color="auto"/>
        <w:bottom w:val="none" w:sz="0" w:space="0" w:color="auto"/>
        <w:right w:val="none" w:sz="0" w:space="0" w:color="auto"/>
      </w:divBdr>
    </w:div>
    <w:div w:id="1473012784">
      <w:bodyDiv w:val="1"/>
      <w:marLeft w:val="0"/>
      <w:marRight w:val="0"/>
      <w:marTop w:val="0"/>
      <w:marBottom w:val="0"/>
      <w:divBdr>
        <w:top w:val="none" w:sz="0" w:space="0" w:color="auto"/>
        <w:left w:val="none" w:sz="0" w:space="0" w:color="auto"/>
        <w:bottom w:val="none" w:sz="0" w:space="0" w:color="auto"/>
        <w:right w:val="none" w:sz="0" w:space="0" w:color="auto"/>
      </w:divBdr>
    </w:div>
    <w:div w:id="1680505091">
      <w:bodyDiv w:val="1"/>
      <w:marLeft w:val="0"/>
      <w:marRight w:val="0"/>
      <w:marTop w:val="0"/>
      <w:marBottom w:val="0"/>
      <w:divBdr>
        <w:top w:val="none" w:sz="0" w:space="0" w:color="auto"/>
        <w:left w:val="none" w:sz="0" w:space="0" w:color="auto"/>
        <w:bottom w:val="none" w:sz="0" w:space="0" w:color="auto"/>
        <w:right w:val="none" w:sz="0" w:space="0" w:color="auto"/>
      </w:divBdr>
    </w:div>
    <w:div w:id="1798983094">
      <w:bodyDiv w:val="1"/>
      <w:marLeft w:val="0"/>
      <w:marRight w:val="0"/>
      <w:marTop w:val="0"/>
      <w:marBottom w:val="0"/>
      <w:divBdr>
        <w:top w:val="none" w:sz="0" w:space="0" w:color="auto"/>
        <w:left w:val="none" w:sz="0" w:space="0" w:color="auto"/>
        <w:bottom w:val="none" w:sz="0" w:space="0" w:color="auto"/>
        <w:right w:val="none" w:sz="0" w:space="0" w:color="auto"/>
      </w:divBdr>
    </w:div>
    <w:div w:id="1802337473">
      <w:bodyDiv w:val="1"/>
      <w:marLeft w:val="0"/>
      <w:marRight w:val="0"/>
      <w:marTop w:val="0"/>
      <w:marBottom w:val="0"/>
      <w:divBdr>
        <w:top w:val="none" w:sz="0" w:space="0" w:color="auto"/>
        <w:left w:val="none" w:sz="0" w:space="0" w:color="auto"/>
        <w:bottom w:val="none" w:sz="0" w:space="0" w:color="auto"/>
        <w:right w:val="none" w:sz="0" w:space="0" w:color="auto"/>
      </w:divBdr>
    </w:div>
    <w:div w:id="1808156551">
      <w:bodyDiv w:val="1"/>
      <w:marLeft w:val="0"/>
      <w:marRight w:val="0"/>
      <w:marTop w:val="0"/>
      <w:marBottom w:val="0"/>
      <w:divBdr>
        <w:top w:val="none" w:sz="0" w:space="0" w:color="auto"/>
        <w:left w:val="none" w:sz="0" w:space="0" w:color="auto"/>
        <w:bottom w:val="none" w:sz="0" w:space="0" w:color="auto"/>
        <w:right w:val="none" w:sz="0" w:space="0" w:color="auto"/>
      </w:divBdr>
      <w:divsChild>
        <w:div w:id="828520154">
          <w:marLeft w:val="0"/>
          <w:marRight w:val="0"/>
          <w:marTop w:val="0"/>
          <w:marBottom w:val="0"/>
          <w:divBdr>
            <w:top w:val="none" w:sz="0" w:space="0" w:color="auto"/>
            <w:left w:val="none" w:sz="0" w:space="0" w:color="auto"/>
            <w:bottom w:val="none" w:sz="0" w:space="0" w:color="auto"/>
            <w:right w:val="none" w:sz="0" w:space="0" w:color="auto"/>
          </w:divBdr>
          <w:divsChild>
            <w:div w:id="7764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993">
      <w:bodyDiv w:val="1"/>
      <w:marLeft w:val="0"/>
      <w:marRight w:val="0"/>
      <w:marTop w:val="0"/>
      <w:marBottom w:val="0"/>
      <w:divBdr>
        <w:top w:val="none" w:sz="0" w:space="0" w:color="auto"/>
        <w:left w:val="none" w:sz="0" w:space="0" w:color="auto"/>
        <w:bottom w:val="none" w:sz="0" w:space="0" w:color="auto"/>
        <w:right w:val="none" w:sz="0" w:space="0" w:color="auto"/>
      </w:divBdr>
      <w:divsChild>
        <w:div w:id="2106802350">
          <w:marLeft w:val="0"/>
          <w:marRight w:val="0"/>
          <w:marTop w:val="0"/>
          <w:marBottom w:val="0"/>
          <w:divBdr>
            <w:top w:val="none" w:sz="0" w:space="0" w:color="auto"/>
            <w:left w:val="none" w:sz="0" w:space="0" w:color="auto"/>
            <w:bottom w:val="none" w:sz="0" w:space="0" w:color="auto"/>
            <w:right w:val="none" w:sz="0" w:space="0" w:color="auto"/>
          </w:divBdr>
          <w:divsChild>
            <w:div w:id="7711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258">
      <w:bodyDiv w:val="1"/>
      <w:marLeft w:val="0"/>
      <w:marRight w:val="0"/>
      <w:marTop w:val="0"/>
      <w:marBottom w:val="0"/>
      <w:divBdr>
        <w:top w:val="none" w:sz="0" w:space="0" w:color="auto"/>
        <w:left w:val="none" w:sz="0" w:space="0" w:color="auto"/>
        <w:bottom w:val="none" w:sz="0" w:space="0" w:color="auto"/>
        <w:right w:val="none" w:sz="0" w:space="0" w:color="auto"/>
      </w:divBdr>
    </w:div>
    <w:div w:id="21313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17</Pages>
  <Words>1968</Words>
  <Characters>11220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Tesla Stock Prices EDA</vt:lpstr>
      <vt:lpstr>    //Correlation Matrix, to understand  the strength of relationships between data </vt:lpstr>
      <vt:lpstr>Tesla stock price evolution over time:</vt:lpstr>
      <vt:lpstr>    The average monthly closing price of Tesla stock:</vt:lpstr>
      <vt:lpstr>    Moving Average Crossover Signals (7-day and 30-day):</vt:lpstr>
      <vt:lpstr>    Distribution of Tesla's Daily Returns:</vt:lpstr>
      <vt:lpstr>    The evolution of Tesla's daily trading volume:</vt:lpstr>
      <vt:lpstr>    30-Day Rolling Volatility of Tesla’s Closing Price:</vt:lpstr>
      <vt:lpstr>    Cumulative Returns:</vt:lpstr>
      <vt:lpstr>    Average Cumulative Return by Month:</vt:lpstr>
      <vt:lpstr>    Boxplot of Tesla’s Closing Prices:</vt:lpstr>
      <vt:lpstr>    Distribution of Close Prices:</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abdalrhman donia</dc:creator>
  <cp:keywords/>
  <dc:description/>
  <cp:lastModifiedBy>abdalrhman donia</cp:lastModifiedBy>
  <cp:revision>6</cp:revision>
  <dcterms:created xsi:type="dcterms:W3CDTF">2025-07-28T03:52:00Z</dcterms:created>
  <dcterms:modified xsi:type="dcterms:W3CDTF">2025-07-29T16:10:00Z</dcterms:modified>
</cp:coreProperties>
</file>