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96"/>
        <w:gridCol w:w="8640"/>
        <w:gridCol w:w="936"/>
      </w:tblGrid>
      <w:tr>
        <w:tc>
          <w:tcPr>
            <w:tcW w:type="dxa" w:w="1296"/>
            <w:vAlign w:val="center"/>
          </w:tcPr>
          <w:p/>
        </w:tc>
        <w:tc>
          <w:tcPr>
            <w:tcW w:type="dxa" w:w="86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6"/>
              </w:rPr>
              <w:t>冯浩然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电话：(+86)15024999885  邮箱：225010160@link.cuhk.edu.cn</w:t>
            </w:r>
          </w:p>
        </w:tc>
        <w:tc>
          <w:tcPr>
            <w:tcW w:type="dxa" w:w="936"/>
            <w:vAlign w:val="center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" cy="4679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_resume_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7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2" w:after="0"/>
        <w:pBdr>
          <w:bottom w:val="single" w:sz="6" w:space="1" w:color="000000"/>
        </w:pBdr>
      </w:pPr>
      <w:r>
        <w:rPr>
          <w:rFonts w:ascii="Microsoft YaHei" w:hAnsi="Microsoft YaHei" w:eastAsia="Microsoft YaHei"/>
          <w:b/>
          <w:sz w:val="20"/>
        </w:rPr>
        <w:t>教育经历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2025.09-2027.06(预计)</w:t>
            </w:r>
          </w:p>
        </w:tc>
        <w:tc>
          <w:tcPr>
            <w:tcW w:type="dxa" w:w="3696"/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香港中文大学（深圳）</w:t>
            </w:r>
          </w:p>
        </w:tc>
        <w:tc>
          <w:tcPr>
            <w:tcW w:type="dxa" w:w="3696"/>
          </w:tcPr>
          <w:p>
            <w:pPr>
              <w:spacing w:after="0" w:line="204" w:lineRule="auto"/>
              <w:jc w:val="righ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集成电路与系统 硕士</w:t>
            </w:r>
          </w:p>
        </w:tc>
      </w:tr>
      <w:tr>
        <w:tc>
          <w:tcPr>
            <w:tcW w:type="dxa" w:w="3696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2021.09-2025.06</w:t>
            </w:r>
          </w:p>
        </w:tc>
        <w:tc>
          <w:tcPr>
            <w:tcW w:type="dxa" w:w="3696"/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山东大学（985）</w:t>
            </w:r>
          </w:p>
        </w:tc>
        <w:tc>
          <w:tcPr>
            <w:tcW w:type="dxa" w:w="3696"/>
          </w:tcPr>
          <w:p>
            <w:pPr>
              <w:spacing w:after="0" w:line="204" w:lineRule="auto"/>
              <w:jc w:val="righ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电子/计算机科学与技术 本科</w:t>
            </w:r>
          </w:p>
        </w:tc>
      </w:tr>
    </w:tbl>
    <w:p>
      <w:pPr>
        <w:spacing w:after="0" w:line="204" w:lineRule="auto"/>
      </w:pPr>
      <w:r>
        <w:rPr>
          <w:rFonts w:ascii="Microsoft YaHei" w:hAnsi="Microsoft YaHei" w:eastAsia="Microsoft YaHei"/>
          <w:b w:val="0"/>
          <w:sz w:val="14"/>
        </w:rPr>
        <w:t>获得荣誉：山东大学学业奖学金（前 20%） 山东大学特长奖学金（竞赛创新）</w:t>
      </w:r>
    </w:p>
    <w:p>
      <w:pPr>
        <w:spacing w:before="22" w:after="0"/>
        <w:pBdr>
          <w:bottom w:val="single" w:sz="6" w:space="1" w:color="000000"/>
        </w:pBdr>
      </w:pPr>
      <w:r>
        <w:rPr>
          <w:rFonts w:ascii="Microsoft YaHei" w:hAnsi="Microsoft YaHei" w:eastAsia="Microsoft YaHei"/>
          <w:b/>
          <w:sz w:val="20"/>
        </w:rPr>
        <w:t>实习经历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4"/>
        <w:gridCol w:w="3312"/>
        <w:gridCol w:w="5472"/>
      </w:tblGrid>
      <w:tr>
        <w:tc>
          <w:tcPr>
            <w:tcW w:type="dxa" w:w="1944"/>
            <w:vAlign w:val="center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2026.05-至今</w:t>
            </w:r>
          </w:p>
        </w:tc>
        <w:tc>
          <w:tcPr>
            <w:tcW w:type="dxa" w:w="3312"/>
            <w:vAlign w:val="center"/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九坤-至知研究院</w:t>
            </w:r>
          </w:p>
        </w:tc>
        <w:tc>
          <w:tcPr>
            <w:tcW w:type="dxa" w:w="5472"/>
            <w:vAlign w:val="center"/>
          </w:tcPr>
          <w:p>
            <w:pPr>
              <w:spacing w:after="0" w:line="204" w:lineRule="auto"/>
              <w:jc w:val="righ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大模型系统与高性能计算实习生</w:t>
            </w:r>
          </w:p>
        </w:tc>
      </w:tr>
    </w:tbl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面向 8xH200 上的大模型 MoE-RL 训练链路，打通 verl + Megatron + vLLM + DeepEP/flex 的 R3 router replay 预验证；定位 vLLM CUDA graph/compiled sampler 路径导致的 sample_tokens timeout，固定 eager 规避后完成 baseline/R2/R3 的 5/25/50-step 对照，全部 0 hang、metric_error=0。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设计并实现训推路由一致性诊断闭环：从 rollout 侧采集 token-layer-topk 维度 routed_experts，在 Megatron 训练侧按 response mask 做 router replay，并上报 topk_overlap、route_mismatch_rate、valid_token_layer_count 等指标；多组实验达到 topk_overlap=1.0、mismatch=0.0，单步有效 token-layer 统计约 2.4M-2.7M。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扩展 logprob drift 对照指标，统一 baseline/R2/R3 的 f_tau_2、KL、k3_kl、abs_diff 口径；在脱敏实验中 R3 相比 baseline 将 f_tau_2 降低约 30x-46x，15-step 独立对照达到 77x 低漂移，并验证 R2 “只记录不回放”基本不改善 drift。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面向 H200 MoE/GEMM 热路径开展 Nsight/Nsys profiling 与算子级口径对齐，修正 T*topk 全展开 rows 与 DeepEP compact rows (TK_valid) 混用导致的 4x-6x 误判；基于 1024 条 forward range 构造本地回放，三个代表 shape 与内部 profile 差异约 +0.46%/-1.11%/-5.40%。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参与 Quack/CUTLASS grouped GEMM config-level tuning，围绕 gemm_gated、gemm_out 分析 MFU、latency 与 expert 分布；通过补充 SM90 autotune 候选使目标线上 shape 获得约 +5.3% 加速，14 shape x 3 分布整体提升约 +1.84%，并确认 pure GEMM 平均 MFU 约 66.5%。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4"/>
        <w:gridCol w:w="3312"/>
        <w:gridCol w:w="5472"/>
      </w:tblGrid>
      <w:tr>
        <w:tc>
          <w:tcPr>
            <w:tcW w:type="dxa" w:w="1944"/>
            <w:vAlign w:val="center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2026.01-2026.04</w:t>
            </w:r>
          </w:p>
        </w:tc>
        <w:tc>
          <w:tcPr>
            <w:tcW w:type="dxa" w:w="3312"/>
            <w:vAlign w:val="center"/>
          </w:tcPr>
          <w:p>
            <w:pPr>
              <w:spacing w:after="0" w:line="20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摩尔线程</w:t>
            </w:r>
          </w:p>
        </w:tc>
        <w:tc>
          <w:tcPr>
            <w:tcW w:type="dxa" w:w="5472"/>
            <w:vAlign w:val="center"/>
          </w:tcPr>
          <w:p>
            <w:pPr>
              <w:spacing w:after="0" w:line="204" w:lineRule="auto"/>
              <w:jc w:val="righ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算子与编译器优化实习生</w:t>
            </w:r>
          </w:p>
        </w:tc>
      </w:tr>
    </w:tbl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参与 TensorFlow MUSA Extension 插件开发，负责 TensorFlow on MUSA 的算子支持、插件集成、测试验证与图优化；完成 muDNN GELU 接入、GELU fusion 链路修复与 benchmark 建设，解决大图场景下部分 GELU 未融合问题，推动整网 11 个 GELU 全部融合，真实 shape testcase 性能提升约 36.6%。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面向整网长跑中的 OOM/随机崩溃问题，独立定位 shape tensor 在 StridedSlice&lt;int32&gt; / Pack&lt;int32&gt; 链路中错误进入 device path 的根因，重构 HostMemory 路径并完成修复；将 inference 500 轮成功率从约 30% 提升至 1000 轮 100%，并通过 4 万/40 万/80 万轮长跑验证。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独立提交并合入官方仓库 PR #57，设计并实现 kernel timing macro 与调试分析机制，构建基于日志、环境变量和测试脚本的轻量级性能定位闭环；将原先依赖生成 msys 文件并借助 mcu 分析的流程，简化为插入宏快速观测 kernel 粗粒度时间占比，定位效率提升约 50%。https://github.com/MooreThreads/tensorflow_musa_extension/pull/57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持续推进热点算子优化与稳定性修复：专项优化 Logical_Or scalar broadcast 路径并补齐 Logical_And 测试，使 Logical_Or 平均耗时从 21.2us 降至 10.7us，整网吞吐从 8187.48 提升至 8284.65；同时完成 AddV2 hot path 优化与 ResourceApplyAdam graph mode 结果对齐。</w:t>
      </w:r>
    </w:p>
    <w:p>
      <w:pPr>
        <w:spacing w:before="22" w:after="0"/>
        <w:pBdr>
          <w:bottom w:val="single" w:sz="6" w:space="1" w:color="000000"/>
        </w:pBdr>
      </w:pPr>
      <w:r>
        <w:rPr>
          <w:rFonts w:ascii="Microsoft YaHei" w:hAnsi="Microsoft YaHei" w:eastAsia="Microsoft YaHei"/>
          <w:b/>
          <w:sz w:val="20"/>
        </w:rPr>
        <w:t>项目经历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4"/>
        <w:gridCol w:w="8784"/>
      </w:tblGrid>
      <w:tr>
        <w:tc>
          <w:tcPr>
            <w:tcW w:type="dxa" w:w="1944"/>
            <w:vAlign w:val="center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2025.12-至今</w:t>
            </w:r>
          </w:p>
        </w:tc>
        <w:tc>
          <w:tcPr>
            <w:tcW w:type="dxa" w:w="8784"/>
            <w:vAlign w:val="center"/>
          </w:tcPr>
          <w:p>
            <w:pPr>
              <w:spacing w:after="0" w:line="204" w:lineRule="auto"/>
              <w:jc w:val="righ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基于 PyTorch Extension 的高性能 LLM 量化推理 Runtime 开发</w:t>
            </w:r>
          </w:p>
        </w:tc>
      </w:tr>
    </w:tbl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推理 Runtime 设计：面向 Llama3/Qwen 等大模型部署中的显存瓶颈，设计并实现支持 W8A8 / FP8 / AWQ 等量化策略的轻量级推理 Runtime。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核心算子开发：基于 NVIDIA CUTLASS 开发并封装高性能 W8A8 (INT8) GEMM 算子，重构 Transformer 中 Linear 层逻辑，完成量化数据结构设计、内存布局优化及前向计算端到端正确性验证。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性能优化演进：使用 Nsight Compute (NCU) 等 profiling 工具分析 kernel 性能瓶颈，持续推进基于 Cutlass EVT 的算子融合以降低 Kernel Launch 开销，并针对 Decode 阶段设计手写 GEMV 算子以优化带宽受限场景下的推理性能。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44"/>
        <w:gridCol w:w="8784"/>
      </w:tblGrid>
      <w:tr>
        <w:tc>
          <w:tcPr>
            <w:tcW w:type="dxa" w:w="1944"/>
            <w:vAlign w:val="center"/>
          </w:tcPr>
          <w:p>
            <w:pPr>
              <w:spacing w:after="0" w:line="20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2024.03-2024.06</w:t>
            </w:r>
          </w:p>
        </w:tc>
        <w:tc>
          <w:tcPr>
            <w:tcW w:type="dxa" w:w="8784"/>
            <w:vAlign w:val="center"/>
          </w:tcPr>
          <w:p>
            <w:pPr>
              <w:spacing w:after="0" w:line="204" w:lineRule="auto"/>
              <w:jc w:val="right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基于 ResNet 的图像分类与半监督学习研究</w:t>
            </w:r>
          </w:p>
        </w:tc>
      </w:tr>
    </w:tbl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项目内容：基于 ResNet-18 架构搭建端到端图像分类流水线，深入探究 CNN 卷积计算特性。针对训练数据类别不平衡与标签稀缺痛点，设计了包含半监督学习（Pseudo-labeling）与混合数据增强的优化策略。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量化成果：通过上述策略，成功解决了过拟合问题，将模型在测试集上的 Top-1 准确率从 Baseline 的 51.8% 提升至 85.1%。获得 kaggle 比赛第七名的成绩。https://www.kaggle.com/competitions/dl2023autumexp2</w:t>
      </w:r>
    </w:p>
    <w:p>
      <w:pPr>
        <w:spacing w:before="22" w:after="0"/>
        <w:pBdr>
          <w:bottom w:val="single" w:sz="6" w:space="1" w:color="000000"/>
        </w:pBdr>
      </w:pPr>
      <w:r>
        <w:rPr>
          <w:rFonts w:ascii="Microsoft YaHei" w:hAnsi="Microsoft YaHei" w:eastAsia="Microsoft YaHei"/>
          <w:b/>
          <w:sz w:val="20"/>
        </w:rPr>
        <w:t>专业技能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技术方向：具备深度学习、异构计算与底层性能优化背景，获得华为 HCIA-AI 认证，关注 AI 系统中的软硬件协同设计与数据吞吐优化。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计算机技能：C/C++、Python、CUDA，熟练使用 Codex 等 AI 辅助开发工具进行代码生成、调试与原型验证。</w:t>
      </w:r>
    </w:p>
    <w:p>
      <w:pPr>
        <w:spacing w:after="0" w:line="197" w:lineRule="auto"/>
        <w:ind w:left="259" w:hanging="173"/>
      </w:pPr>
      <w:r>
        <w:rPr>
          <w:rFonts w:ascii="Microsoft YaHei" w:hAnsi="Microsoft YaHei" w:eastAsia="Microsoft YaHei"/>
          <w:b w:val="0"/>
          <w:sz w:val="13"/>
        </w:rPr>
        <w:t xml:space="preserve">• </w:t>
      </w:r>
      <w:r>
        <w:rPr>
          <w:rFonts w:ascii="Microsoft YaHei" w:hAnsi="Microsoft YaHei" w:eastAsia="Microsoft YaHei"/>
          <w:b w:val="0"/>
          <w:sz w:val="13"/>
        </w:rPr>
        <w:t>英语：IELTS 6.5，CET-6，具备良好的英文技术文档阅读、检索与工程协作能力。</w:t>
      </w:r>
    </w:p>
    <w:sectPr w:rsidR="00FC693F" w:rsidRPr="0006063C" w:rsidSect="00034616">
      <w:pgSz w:w="12240" w:h="15840"/>
      <w:pgMar w:top="317" w:right="576" w:bottom="317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