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035789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Haoran Feng</w:t>
            </w:r>
          </w:p>
        </w:tc>
      </w:tr>
      <w:tr w:rsidR="006F3B20" w:rsidRPr="00035789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Phone: (+86) 150 2499 9885    Email: 225010160@link.cuhk.edu.cn    Portfolio</w:t>
            </w:r>
          </w:p>
        </w:tc>
      </w:tr>
      <w:tr w:rsidR="00DF3720" w:rsidRPr="00035789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035789" w:rsidRDefault="00DF3720">
            <w:pPr>
              <w:rPr>
                <w:rFonts w:ascii="Times New Roman" w:hAnsi="Times New Roman" w:cstheme="minorHAnsi"/>
                <w:b/>
                <w:u w:val="single"/>
              </w:rPr>
            </w:pPr>
          </w:p>
        </w:tc>
      </w:tr>
      <w:tr w:rsidR="006F3B20" w:rsidRPr="00035789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EDUCATION</w:t>
            </w:r>
          </w:p>
        </w:tc>
      </w:tr>
      <w:tr w:rsidR="006F3B20" w:rsidRPr="00035789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Sep 2025 - Jun 2027 (Expected)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CUHK-Shenzhen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M.S., Integrated Circuits and Systems</w:t>
            </w:r>
          </w:p>
        </w:tc>
      </w:tr>
      <w:tr w:rsidR="00DC174E" w:rsidRPr="00035789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Sep 2021 - Jun 2025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Shandong University (985)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B.Eng., Electronic Science / Computer Science</w:t>
            </w:r>
          </w:p>
        </w:tc>
      </w:tr>
      <w:tr w:rsidR="00DC174E" w:rsidRPr="00035789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Honors: Academic Scholarship (Top 20%); Special Talent Scholarship in Innovation, Shandong University</w:t>
            </w:r>
          </w:p>
        </w:tc>
      </w:tr>
    </w:tbl>
    <w:p w14:paraId="483CC4CC" w14:textId="77777777" w:rsidR="00DD3AE0" w:rsidRPr="00035789" w:rsidRDefault="00DD3AE0" w:rsidP="005026A7">
      <w:pPr>
        <w:tabs>
          <w:tab w:val="left" w:pos="5136"/>
        </w:tabs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035789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INTERNSHIP EXPERIENCE</w:t>
            </w:r>
          </w:p>
        </w:tc>
      </w:tr>
      <w:tr w:rsidR="00E81496" w:rsidRPr="00035789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Apr 2026 - Present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Ubiquant Investment - AI Lab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LLM and HPC Intern</w:t>
            </w:r>
          </w:p>
        </w:tc>
      </w:tr>
      <w:tr w:rsidR="00E81496" w:rsidRPr="00035789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9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300B-class MoE foundation model development and optimization: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Developing training, inference, and RL-rollout infrastructure for an internal 300B-class MoE foundation model, with ownership spanning kernel performance, runtime stability, and multi-GPU validation.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Training Kernel Support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FA3 deterministic SWA backward: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Used Nsys/NCU factorization to attribute 99.67% of deterministic overhead to the dQ semaphore chain. Implemented contributor-relative tickets aligned with the reverse scheduler in the fused kernel, with no new kernel/workspace/D2H and a short-sequence fallback. Cut packed backward from 6.755 to 1.699 ms (3.98x), achieved 1.59-5.37x at 2K-12K, and passed 3,601/3,601 regressions plus 1,000 bitwise repeats.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Sink FC1 GEMM and communication contention: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Corrected FC1 to BF16 8192x3072x3072 and isolated cross-stream communication contention rather than a slow GEMM. Built a 4xH200 dual-stream proxy, sweeping NCCL CTA budgets and DeepGEMM SM budgets (121 coarse, 89 fine) with Nsys grid/overlap checks. In the AllGather proxy, 12 CTA + DG120 reduced joint span by 12.80%, including 7.58% independent gain from compute throttling; AllToAll gains were attributed to communication parallelism.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Inference Kernel Support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Deterministic MoE Router GEMM under CUDA Graph: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Integrated DeepGEMM, Triton Full-K, and persistent backends in vLLM; owned the tensor-signature selector, pre-capture numeric/graph preflight, cache/fallback, workspace lifecycle, and path tests. Replay freezes the backend decision. Reduced median latency of 48 router GEMMs by 73.39%, passed 135/135 kernel and 20/20 model bitwise checks, and improved prefix-cache-hit request throughput by 3.81%/4.36% on TP1/TP2.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Asynchronous OE state operator: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Kept recent-token history and oe_input_ids construction on GPU with Triton fused hashing, fixing cross-step state for prefill/decode/mixed batches/recovery/slot reuse/reorder. Passed 28/28 TP1 cases with +4.99% throughput; the TP&gt;1 async-unfused batch-invariant path reached 84/84 with zero mismatches and +4.6%/+3.0% decode throughput on TP2/TP4.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Training-Inference Consistency and Rollout Reliability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R3 Router Replay and multi-GPU observability: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Built token/layer/top-k route capture, transport, training-side replay, response-mask alignment, and mismatch/f-tau2/KL diagnostics between vLLM and Megatron. On 8xH200/Qwen3-30B-A3B, reduced route mismatch from 17-19% to 0, f-tau2 by 36-145x, and KL by 4-7x; extended to a monitored 128-GPU, 200-step rollout on an internal 300B-class MoE foundation model with aligned key metrics.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FlashInfer CUDA Graph hang: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Reproduced a vLLM TP=2 FULL CUDA Graph rollout hang on two H200 GPUs. TP/eager/graph/fused controls traced it to FTZ misclassifying a Lamport -0.0 sentinel in fused AllReduce + RMSNorm. Backported the upstream 0x80000000 bitwise fix; repeated model graph on/off replays had no hang or timeout.</w:t>
            </w:r>
          </w:p>
          <w:p>
            <w:pPr>
              <w:keepLines w:val="0"/>
              <w:spacing w:before="0" w:after="11" w:line="240" w:lineRule="auto"/>
              <w:ind w:left="0" w:firstLine="0"/>
            </w:pPr>
            <w:r>
              <w:rPr>
                <w:rFonts w:ascii="Times New Roman" w:hAnsi="Times New Roman" w:eastAsia="宋体"/>
                <w:b/>
                <w:sz w:val="17"/>
                <w:u w:val="none"/>
              </w:rPr>
              <w:t>Jan 2026 - Apr 2026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 xml:space="preserve">                    Moore Threads                    Operator &amp; Compiler Optimization Intern</w:t>
            </w:r>
          </w:p>
          <w:p>
            <w:pPr>
              <w:keepLines w:val="0"/>
              <w:spacing w:before="0" w:after="2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TensorFlow MUSA Extension, graph optimization, and reliability: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Integrated muDNN GELU, repaired the fusion pipeline, and optimized hot paths; all 11 GELUs fused and representative-shape latency fell 36.6%. Reworked HostMemory after tracing shape tensors entering the device path, lifting success from about 30% at 500 iterations to 100% at 1,000 and passing 40K/400K/800K stress runs. Reduced Logical_Or from 21.2 to 10.7 us and raised end-to-end throughput from 8187.48 to 8284.65.</w:t>
            </w:r>
          </w:p>
        </w:tc>
      </w:tr>
      <w:tr w:rsidR="00553A28" w:rsidRPr="00035789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OPEN-SOURCE CONTRIBUTIONS</w:t>
            </w:r>
          </w:p>
        </w:tc>
      </w:tr>
      <w:tr w:rsidR="00553A28" w:rsidRPr="00035789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Aug - Sep 2026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035789" w:rsidRDefault="00553A28" w:rsidP="00762FCC">
            <w:pPr>
              <w:jc w:val="center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Merged External Contributions</w:t>
            </w:r>
          </w:p>
        </w:tc>
      </w:tr>
      <w:tr w:rsidR="00553A28" w:rsidRPr="00035789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5 merged external PRs (XFDG): Mooncake </w:t>
            </w:r>
            <w:hyperlink r:id="rId10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 (Merged),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covering storage durability, RDMA recovery, memory-unregister lifecycle, and queue error propagation; 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 (Merged) fixes argmax padding rows.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035789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PROJECTS AND RESEARCH</w:t>
            </w:r>
          </w:p>
        </w:tc>
      </w:tr>
      <w:tr w:rsidR="00553A28" w:rsidRPr="00035789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Dec 2025 - Present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7"/>
                <w:u w:val="none"/>
              </w:rPr>
              <w:t>High-Performance Quantized LLM Runtime with PyTorch Extensions</w:t>
            </w:r>
          </w:p>
        </w:tc>
      </w:tr>
      <w:tr w:rsidR="00553A28" w:rsidRPr="00035789" w14:paraId="2ADBC656" w14:textId="77777777" w:rsidTr="00571FB1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4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H200 quantized-runtime deployment and TP2 extension: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To deliver 32B quantized inference on two H200 GPUs, owned W4A16/W8A8/FP8 backend adaptation, FlashAttention-2/4 and GQA/soft-cap/SDPA integration, and kernel debugging. Used Compute Sanitizer to fix a tail-group out-of-bounds access, then implemented packed-AWQ TP=2 sharding with NCCL all-reduce. All four Sanitizer modes passed representative shapes; two-GPU Qwen2.5-Coder-32B W4A16 reduced checkpoint/peak memory by 70.5%/66.8% and increased end-to-end output throughput by 76.8%.</w:t>
            </w:r>
          </w:p>
        </w:tc>
      </w:tr>
      <w:tr w:rsidR="004E3AC1" w:rsidRPr="00035789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Jan 2026 - Present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7"/>
                <w:u w:val="none"/>
              </w:rPr>
              <w:t xml:space="preserve">Token-Weighted CoT Distillation | AAAI 2027 Submission | </w:t>
            </w:r>
            <w:hyperlink r:id="rId17">
              <w:r>
                <w:rPr>
                  <w:rFonts w:ascii="Times New Roman" w:hAnsi="Times New Roman" w:eastAsia="宋体"/>
                  <w:b w:val="0"/>
                  <w:color w:val="0563C1"/>
                  <w:sz w:val="17"/>
                  <w:u w:val="single"/>
                </w:rPr>
                <w:t>Code</w:t>
              </w:r>
            </w:hyperlink>
          </w:p>
        </w:tc>
      </w:tr>
      <w:tr w:rsidR="004E3AC1" w:rsidRPr="00035789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2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Token-weighted CoT distillation: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To address the lack of token-level importance awareness in generic CoT distillation, contributed to a three-stage structure-recovery, token-weighted supervision, and preference-optimization pipeline. Owned training, hyperparameter tuning, and vLLM TP=4 evaluation; estimated importance from reference-answer likelihood drops after teacher-rationale perturbations and applied it to weighted SFT plus an auxiliary loss. Qwen2.5-7B-Instruct reached 94.01%/94.00% on GSM8K/SVAMP, +5.51/+10.10 points over the strongest baselines; manuscript submitted to AAAI 2027.</w:t>
            </w:r>
          </w:p>
        </w:tc>
      </w:tr>
    </w:tbl>
    <w:p w14:paraId="4C54A264" w14:textId="77777777" w:rsidR="00EB483F" w:rsidRPr="00035789" w:rsidRDefault="00EB483F" w:rsidP="006F3B20">
      <w:pPr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035789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SKILLS</w:t>
            </w:r>
          </w:p>
        </w:tc>
      </w:tr>
      <w:tr w:rsidR="00553A28" w:rsidRPr="00035789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4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Focus: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GPU high-performance kernel development and LLM training/inference optimization; experience in Attention, MoE routing, quantized GEMM, async state, tensor parallelism, and CUDA Graphs.</w:t>
            </w:r>
          </w:p>
          <w:p>
            <w:pPr>
              <w:keepLines w:val="0"/>
              <w:spacing w:before="0" w:after="4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Development and performance engineering: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C/C++, Python, CUDA, Triton, and PyTorch Extensions; profiling and correctness validation with Nsight Systems, Nsight Compute, and Compute Sanitizer.</w:t>
            </w:r>
          </w:p>
          <w:p>
            <w:pPr>
              <w:keepLines w:val="0"/>
              <w:spacing w:before="0" w:after="0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Languages and credentials: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IELTS 6.5; CET-6; Huawei HCIA-AI certified. Experienced in reading technical documentation, source analysis, and cross-repository debugging.</w:t>
            </w:r>
          </w:p>
        </w:tc>
      </w:tr>
    </w:tbl>
    <w:p w14:paraId="1059BFF1" w14:textId="77777777" w:rsidR="00324654" w:rsidRPr="00035789" w:rsidRDefault="00324654" w:rsidP="00DF3720">
      <w:pPr>
        <w:spacing w:after="0" w:line="240" w:lineRule="auto"/>
        <w:rPr>
          <w:rFonts w:ascii="Times New Roman" w:hAnsi="Times New Roman" w:cstheme="minorHAnsi"/>
        </w:rPr>
      </w:pPr>
    </w:p>
    <w:sectPr w:rsidR="00324654" w:rsidRPr="0003578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EFEF8" w14:textId="77777777" w:rsidR="00F5089A" w:rsidRDefault="00F5089A" w:rsidP="00DC174E">
      <w:pPr>
        <w:spacing w:after="0" w:line="240" w:lineRule="auto"/>
      </w:pPr>
      <w:r>
        <w:separator/>
      </w:r>
    </w:p>
  </w:endnote>
  <w:endnote w:type="continuationSeparator" w:id="0">
    <w:p w14:paraId="45AE1E3E" w14:textId="77777777" w:rsidR="00F5089A" w:rsidRDefault="00F5089A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D622" w14:textId="77777777" w:rsidR="00F5089A" w:rsidRDefault="00F5089A" w:rsidP="00DC174E">
      <w:pPr>
        <w:spacing w:after="0" w:line="240" w:lineRule="auto"/>
      </w:pPr>
      <w:r>
        <w:separator/>
      </w:r>
    </w:p>
  </w:footnote>
  <w:footnote w:type="continuationSeparator" w:id="0">
    <w:p w14:paraId="5791FA44" w14:textId="77777777" w:rsidR="00F5089A" w:rsidRDefault="00F5089A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35789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32598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1FB1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45A9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06240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1F03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089A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25010160@link.cuhk.edu.c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review.net/forum?id=6eDZdA6IGW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vcache-ai/Mooncake/pull/360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700</Words>
  <Characters>4413</Characters>
  <Application>Microsoft Office Word</Application>
  <DocSecurity>0</DocSecurity>
  <Lines>89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Haoran Feng - AI Infrastructure Resume</dc:title>
  <dc:subject>AI Infrastructure Resume</dc:subject>
  <dc:creator>冯浩然 / Haoran Feng</dc:creator>
  <cp:keywords/>
  <dc:description>Updated 2026-09-15</dc:description>
  <cp:lastModifiedBy>浩然 冯</cp:lastModifiedBy>
  <cp:revision>7</cp:revision>
  <cp:lastPrinted>2026-09-01T15:00:00Z</cp:lastPrinted>
  <dcterms:created xsi:type="dcterms:W3CDTF">2026-09-01T14:38:00Z</dcterms:created>
  <dcterms:modified xsi:type="dcterms:W3CDTF">2026-09-01T15:00:00Z</dcterms:modified>
</cp:coreProperties>
</file>