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98" w:lineRule="auto"/>
        <w:snapToGrid w:val="0"/>
        <w:jc w:val="center"/>
      </w:pPr>
      <w:r>
        <w:rPr>
          <w:rFonts w:ascii="Times New Roman" w:hAnsi="Times New Roman" w:eastAsia="宋体"/>
          <w:b/>
          <w:sz w:val="52"/>
        </w:rPr>
        <w:t>冯浩然</w:t>
      </w:r>
    </w:p>
    <w:p>
      <w:pPr>
        <w:spacing w:before="0" w:after="80" w:line="298" w:lineRule="auto"/>
        <w:snapToGrid w:val="0"/>
        <w:jc w:val="center"/>
      </w:pPr>
      <w:r>
        <w:rPr>
          <w:rFonts w:ascii="Times New Roman" w:hAnsi="Times New Roman" w:eastAsia="宋体"/>
          <w:b w:val="0"/>
          <w:sz w:val="18"/>
        </w:rPr>
        <w:t xml:space="preserve">电话：15024999885 ｜ 邮箱：225010160@link.cuhk.edu.cn ｜ </w:t>
      </w:r>
      <w:hyperlink r:id="rId9">
        <w:r>
          <w:rPr>
            <w:rFonts w:ascii="Times New Roman" w:hAnsi="Times New Roman" w:eastAsia="宋体"/>
            <w:b w:val="0"/>
            <w:sz w:val="18"/>
            <w:color w:val="0563C1"/>
          </w:rPr>
          <w:t>个人网站</w:t>
        </w:r>
      </w:hyperlink>
      <w:r>
        <w:rPr>
          <w:rFonts w:ascii="Times New Roman" w:hAnsi="Times New Roman" w:eastAsia="宋体"/>
          <w:b w:val="0"/>
          <w:sz w:val="18"/>
        </w:rPr>
        <w:t xml:space="preserve"> ｜ </w:t>
      </w:r>
      <w:hyperlink r:id="rId10">
        <w:r>
          <w:rPr>
            <w:rFonts w:ascii="Times New Roman" w:hAnsi="Times New Roman" w:eastAsia="宋体"/>
            <w:b w:val="0"/>
            <w:sz w:val="18"/>
            <w:color w:val="0563C1"/>
          </w:rPr>
          <w:t>GitHub：XFDG</w:t>
        </w:r>
      </w:hyperlink>
    </w:p>
    <w:p>
      <w:pPr>
        <w:spacing w:before="120" w:after="80" w:line="298" w:lineRule="auto"/>
        <w:keepNext/>
        <w:snapToGrid w:val="0"/>
        <w:pBdr>
          <w:bottom w:val="single" w:sz="4" w:color="888888"/>
        </w:pBdr>
      </w:pPr>
      <w:r>
        <w:rPr>
          <w:rFonts w:ascii="黑体" w:hAnsi="黑体" w:eastAsia="黑体"/>
          <w:b/>
          <w:sz w:val="20"/>
        </w:rPr>
        <w:t>教育经历</w:t>
      </w:r>
    </w:p>
    <w:p>
      <w:pPr>
        <w:spacing w:before="60" w:after="80" w:line="298" w:lineRule="auto"/>
        <w:keepNext/>
        <w:tabs>
          <w:tab w:pos="10658" w:val="right"/>
        </w:tabs>
        <w:snapToGrid w:val="0"/>
      </w:pPr>
      <w:r>
        <w:rPr>
          <w:rFonts w:ascii="黑体" w:hAnsi="黑体" w:eastAsia="黑体"/>
          <w:b/>
          <w:sz w:val="18"/>
        </w:rPr>
        <w:t>香港中文大学（深圳） ｜ 集成电路与系统 硕士</w:t>
      </w:r>
      <w:r>
        <w:rPr>
          <w:rFonts w:ascii="Times New Roman" w:hAnsi="Times New Roman" w:eastAsia="宋体"/>
          <w:b w:val="0"/>
          <w:sz w:val="17"/>
        </w:rPr>
        <w:tab/>
        <w:t>2025.09-2027.06（预计）</w:t>
      </w:r>
    </w:p>
    <w:p>
      <w:pPr>
        <w:spacing w:before="60" w:after="80" w:line="298" w:lineRule="auto"/>
        <w:keepNext/>
        <w:tabs>
          <w:tab w:pos="10658" w:val="right"/>
        </w:tabs>
        <w:snapToGrid w:val="0"/>
      </w:pPr>
      <w:r>
        <w:rPr>
          <w:rFonts w:ascii="黑体" w:hAnsi="黑体" w:eastAsia="黑体"/>
          <w:b/>
          <w:sz w:val="18"/>
        </w:rPr>
        <w:t>山东大学（985） ｜ 电子科学与技术 / 计算机科学与技术 本科</w:t>
      </w:r>
      <w:r>
        <w:rPr>
          <w:rFonts w:ascii="Times New Roman" w:hAnsi="Times New Roman" w:eastAsia="宋体"/>
          <w:b w:val="0"/>
          <w:sz w:val="17"/>
        </w:rPr>
        <w:tab/>
        <w:t>2021.09-2025.06</w:t>
      </w:r>
    </w:p>
    <w:p>
      <w:pPr>
        <w:spacing w:before="0" w:after="80" w:line="298" w:lineRule="auto"/>
        <w:snapToGrid w:val="0"/>
      </w:pPr>
      <w:r>
        <w:rPr>
          <w:rFonts w:ascii="Times New Roman" w:hAnsi="Times New Roman" w:eastAsia="宋体"/>
          <w:b w:val="0"/>
          <w:sz w:val="18"/>
        </w:rPr>
        <w:t>获得荣誉：山东大学学业奖学金（前 20%）、特长奖学金（竞赛创新）。</w:t>
      </w:r>
    </w:p>
    <w:p>
      <w:pPr>
        <w:spacing w:before="120" w:after="80" w:line="298" w:lineRule="auto"/>
        <w:keepNext/>
        <w:snapToGrid w:val="0"/>
        <w:pBdr>
          <w:bottom w:val="single" w:sz="4" w:color="888888"/>
        </w:pBdr>
      </w:pPr>
      <w:r>
        <w:rPr>
          <w:rFonts w:ascii="黑体" w:hAnsi="黑体" w:eastAsia="黑体"/>
          <w:b/>
          <w:sz w:val="20"/>
        </w:rPr>
        <w:t>实习经历</w:t>
      </w:r>
    </w:p>
    <w:p>
      <w:pPr>
        <w:spacing w:before="60" w:after="80" w:line="298" w:lineRule="auto"/>
        <w:keepNext/>
        <w:tabs>
          <w:tab w:pos="10658" w:val="right"/>
        </w:tabs>
        <w:snapToGrid w:val="0"/>
      </w:pPr>
      <w:r>
        <w:drawing>
          <wp:inline xmlns:a="http://schemas.openxmlformats.org/drawingml/2006/main" xmlns:pic="http://schemas.openxmlformats.org/drawingml/2006/picture">
            <wp:extent cx="152400" cy="15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que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rFonts w:ascii="黑体" w:hAnsi="黑体" w:eastAsia="黑体"/>
          <w:b/>
          <w:sz w:val="18"/>
        </w:rPr>
        <w:t>九坤投资-至知创新研究院 ｜ 大模型与高性能计算实习生</w:t>
      </w:r>
      <w:r>
        <w:rPr>
          <w:rFonts w:ascii="Times New Roman" w:hAnsi="Times New Roman" w:eastAsia="宋体"/>
          <w:b w:val="0"/>
          <w:sz w:val="17"/>
        </w:rPr>
        <w:tab/>
        <w:t>2026.04-至今</w:t>
      </w:r>
    </w:p>
    <w:p>
      <w:pPr>
        <w:spacing w:before="0" w:after="80" w:line="298" w:lineRule="auto"/>
        <w:snapToGrid w:val="0"/>
      </w:pPr>
      <w:hyperlink r:id="rId12">
        <w:r>
          <w:rPr>
            <w:rFonts w:ascii="Times New Roman" w:hAnsi="Times New Roman" w:eastAsia="宋体"/>
            <w:b/>
            <w:sz w:val="18"/>
            <w:color w:val="0563C1"/>
          </w:rPr>
          <w:t>IQuest-Q1（320B-A15B）</w:t>
        </w:r>
      </w:hyperlink>
      <w:r>
        <w:rPr>
          <w:rFonts w:ascii="Times New Roman" w:hAnsi="Times New Roman" w:eastAsia="宋体"/>
          <w:b/>
          <w:sz w:val="18"/>
        </w:rPr>
        <w:t xml:space="preserve"> MoE 模型训练算子与 RL 基础设施：</w:t>
      </w:r>
      <w:r>
        <w:rPr>
          <w:rFonts w:ascii="Times New Roman" w:hAnsi="Times New Roman" w:eastAsia="宋体"/>
          <w:b w:val="0"/>
          <w:sz w:val="18"/>
        </w:rPr>
        <w:t>参与已发布模型的训练与 RL rollout 基础设施开发，围绕 Attention backward、MoE Router 和计算通信竞争，负责性能归因、算子实现及数值/确定性回归。</w:t>
      </w:r>
    </w:p>
    <w:p>
      <w:pPr>
        <w:spacing w:before="0" w:after="80" w:line="298" w:lineRule="auto"/>
        <w:keepNext/>
        <w:snapToGrid w:val="0"/>
      </w:pPr>
      <w:r>
        <w:rPr>
          <w:rFonts w:ascii="Times New Roman" w:hAnsi="Times New Roman" w:eastAsia="宋体"/>
          <w:b/>
          <w:sz w:val="18"/>
        </w:rPr>
        <w:t>训练算子优化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FA3 确定性 SWA backward 调度：</w:t>
      </w:r>
      <w:r>
        <w:rPr>
          <w:rFonts w:ascii="Times New Roman" w:hAnsi="Times New Roman" w:eastAsia="宋体"/>
          <w:b w:val="0"/>
          <w:sz w:val="18"/>
        </w:rPr>
        <w:t>针对长序列确定性反向传播回退，负责归因、调度实现与验证；通过 Nsys/NCU 定位 dQ semaphore 依赖链，在原 fused kernel 内实现 contributor-relative ticket 并对齐 reverse scheduler。代表 packed shape 完整 backward 从 6.755 ms 降至 1.699 ms（3.98×），2K-12K 加速 1.59-5.37×；通过 3,601 项回归及 1,000 次逐位确定性测试并交付 wheel。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Sink FC1 计算与通信竞争优化：</w:t>
      </w:r>
      <w:r>
        <w:rPr>
          <w:rFonts w:ascii="Times New Roman" w:hAnsi="Times New Roman" w:eastAsia="宋体"/>
          <w:b w:val="0"/>
          <w:sz w:val="18"/>
        </w:rPr>
        <w:t>针对跨 stream 通信导致 FC1 退化，搭建 4×H200 双 stream 代理，以 NCCL CTA 预算和 DeepGEMM SM budget 联合控核，完成 121 组粗扫、89 组细扫及复验；AllGatherV 代理联合耗时降低 12.80%，同通信设置下控核独立贡献 7.58%。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MoE Router orth-loss 子图融合：</w:t>
      </w:r>
      <w:r>
        <w:rPr>
          <w:rFonts w:ascii="Times New Roman" w:hAnsi="Times New Roman" w:eastAsia="宋体"/>
          <w:b w:val="0"/>
          <w:sz w:val="18"/>
        </w:rPr>
        <w:t>针对每层重复构造 identity 及 normalize、margin、reduction 等碎片化计算，推导等价式并以 torch.compile(fullgraph=True) 融合周边子图；淘汰完整层回退的 in-place 方案后采用默认关闭的 V3 路径。steady forward GPU operation 从 17 降至 7，目标函数 forward+backward 耗时降低 18.77%、峰值显存降低 11.11%；4×H200 完整 MoE Layer 耗时降低 3.97%，value/gradient 9/9 通过。</w:t>
      </w:r>
    </w:p>
    <w:p>
      <w:pPr>
        <w:spacing w:before="0" w:after="80" w:line="298" w:lineRule="auto"/>
        <w:keepNext/>
        <w:snapToGrid w:val="0"/>
      </w:pPr>
      <w:r>
        <w:rPr>
          <w:rFonts w:ascii="Times New Roman" w:hAnsi="Times New Roman" w:eastAsia="宋体"/>
          <w:b/>
          <w:sz w:val="18"/>
        </w:rPr>
        <w:t>RL 训练侧路由回放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R3 Router Replay：</w:t>
      </w:r>
      <w:r>
        <w:rPr>
          <w:rFonts w:ascii="Times New Roman" w:hAnsi="Times New Roman" w:eastAsia="宋体"/>
          <w:b w:val="0"/>
          <w:sz w:val="18"/>
        </w:rPr>
        <w:t>针对 vLLM rollout 与 Megatron 训练侧路由偏差，打通路由采集、传输与回放，建立 response-mask 对齐及 mismatch/fτ²/KL 监控；8×H200、Qwen3-30B-A3B 的 20-step 对照中，执行路由不一致率从 17%-19% 降至 0，fτ²/KL 降低 36-145×/4-7×；扩展至 128 卡，在 300B 级模型研发阶段完成 200-step rollout。</w:t>
      </w:r>
    </w:p>
    <w:p>
      <w:pPr>
        <w:spacing w:before="60" w:after="80" w:line="298" w:lineRule="auto"/>
        <w:keepNext/>
        <w:tabs>
          <w:tab w:pos="10658" w:val="right"/>
        </w:tabs>
        <w:snapToGrid w:val="0"/>
      </w:pPr>
      <w:r>
        <w:drawing>
          <wp:inline xmlns:a="http://schemas.openxmlformats.org/drawingml/2006/main" xmlns:pic="http://schemas.openxmlformats.org/drawingml/2006/picture">
            <wp:extent cx="535460" cy="15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orethrea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460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rFonts w:ascii="黑体" w:hAnsi="黑体" w:eastAsia="黑体"/>
          <w:b/>
          <w:sz w:val="18"/>
        </w:rPr>
        <w:t>摩尔线程 ｜ 算子与编译器优化实习生</w:t>
      </w:r>
      <w:r>
        <w:rPr>
          <w:rFonts w:ascii="Times New Roman" w:hAnsi="Times New Roman" w:eastAsia="宋体"/>
          <w:b w:val="0"/>
          <w:sz w:val="17"/>
        </w:rPr>
        <w:tab/>
        <w:t>2026.01-2026.04</w:t>
      </w:r>
    </w:p>
    <w:p>
      <w:pPr>
        <w:spacing w:before="0" w:after="80" w:line="298" w:lineRule="auto"/>
        <w:snapToGrid w:val="0"/>
      </w:pPr>
      <w:r>
        <w:rPr>
          <w:rFonts w:ascii="Times New Roman" w:hAnsi="Times New Roman" w:eastAsia="宋体"/>
          <w:b/>
          <w:sz w:val="18"/>
        </w:rPr>
        <w:t>TensorFlow 国产 GPU 后端适配与优化：</w:t>
      </w:r>
      <w:r>
        <w:rPr>
          <w:rFonts w:ascii="Times New Roman" w:hAnsi="Times New Roman" w:eastAsia="宋体"/>
          <w:b w:val="0"/>
          <w:sz w:val="18"/>
        </w:rPr>
        <w:t>参与 TensorFlow MUSA Extension 开发，负责 MUSA 算子及优化器适配、GELU 图融合、性能分析工具与长跑稳定性修复。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算子与图优化：</w:t>
      </w:r>
      <w:r>
        <w:rPr>
          <w:rFonts w:ascii="Times New Roman" w:hAnsi="Times New Roman" w:eastAsia="宋体"/>
          <w:b w:val="0"/>
          <w:sz w:val="18"/>
        </w:rPr>
        <w:t>针对 GELU 融合缺失及热点算子开销，接入 muDNN 并修复融合链路，实现整网 11 个 GELU 全部融合、真实 shape 耗时降低 36.6%；Logical_Or 从 21.2 μs 降至 10.7 μs，补充 Adam/AdaMax/GradientDescent 算子实现或修复及测试。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长跑稳定性：</w:t>
      </w:r>
      <w:r>
        <w:rPr>
          <w:rFonts w:ascii="Times New Roman" w:hAnsi="Times New Roman" w:eastAsia="宋体"/>
          <w:b w:val="0"/>
          <w:sz w:val="18"/>
        </w:rPr>
        <w:t>针对推理随机崩溃，定位 shape tensor 误入 device path 并重构 HostMemory，修复资源变量更新与 session 关闭问题；从 500 轮成功率约 30% 提升至 1,000 轮 100%，通过 4 万/40 万/80 万轮长跑验证。</w:t>
      </w:r>
    </w:p>
    <w:p>
      <w:pPr>
        <w:spacing w:before="120" w:after="80" w:line="298" w:lineRule="auto"/>
        <w:keepNext/>
        <w:snapToGrid w:val="0"/>
        <w:pBdr>
          <w:bottom w:val="single" w:sz="4" w:color="888888"/>
        </w:pBdr>
      </w:pPr>
      <w:r>
        <w:rPr>
          <w:rFonts w:ascii="黑体" w:hAnsi="黑体" w:eastAsia="黑体"/>
          <w:b/>
          <w:sz w:val="20"/>
        </w:rPr>
        <w:t>开源贡献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Mooncake（7 个 PR 已合入）：</w:t>
      </w:r>
      <w:r>
        <w:rPr>
          <w:rFonts w:ascii="Times New Roman" w:hAnsi="Times New Roman" w:eastAsia="宋体"/>
          <w:b w:val="0"/>
          <w:sz w:val="18"/>
        </w:rPr>
        <w:t>修复存储持久化、RDMA 端口恢复、内存注销生命周期、队列失败传播、副本选择与多租户清理问题，补充 macOS 构建兼容支持。</w:t>
      </w:r>
      <w:hyperlink r:id="rId14">
        <w:r>
          <w:rPr>
            <w:rFonts w:ascii="Times New Roman" w:hAnsi="Times New Roman" w:eastAsia="宋体"/>
            <w:b w:val="0"/>
            <w:sz w:val="18"/>
            <w:color w:val="0563C1"/>
          </w:rPr>
          <w:t>PR 链接</w:t>
        </w:r>
      </w:hyperlink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摩尔线程 TME（10 个 PR 已合入）：</w:t>
      </w:r>
      <w:r>
        <w:rPr>
          <w:rFonts w:ascii="Times New Roman" w:hAnsi="Times New Roman" w:eastAsia="宋体"/>
          <w:b w:val="0"/>
          <w:sz w:val="18"/>
        </w:rPr>
        <w:t>实现 GELU 融合及优化器算子，优化逻辑算子与性能计时，修复资源变量更新及长跑稳定性问题。</w:t>
      </w:r>
      <w:hyperlink r:id="rId15">
        <w:r>
          <w:rPr>
            <w:rFonts w:ascii="Times New Roman" w:hAnsi="Times New Roman" w:eastAsia="宋体"/>
            <w:b w:val="0"/>
            <w:sz w:val="18"/>
            <w:color w:val="0563C1"/>
          </w:rPr>
          <w:t>PR 链接</w:t>
        </w:r>
      </w:hyperlink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其他项目（3 个 PR 已合入）：</w:t>
      </w:r>
      <w:hyperlink r:id="rId16">
        <w:r>
          <w:rPr>
            <w:rFonts w:ascii="Times New Roman" w:hAnsi="Times New Roman" w:eastAsia="宋体"/>
            <w:b w:val="0"/>
            <w:sz w:val="18"/>
            <w:color w:val="0563C1"/>
          </w:rPr>
          <w:t>Ray #66502</w:t>
        </w:r>
      </w:hyperlink>
      <w:r>
        <w:rPr>
          <w:rFonts w:ascii="Times New Roman" w:hAnsi="Times New Roman" w:eastAsia="宋体"/>
          <w:b w:val="0"/>
          <w:sz w:val="18"/>
        </w:rPr>
        <w:t xml:space="preserve"> 修复 Serve gRPC handler 代理路由；</w:t>
      </w:r>
      <w:hyperlink r:id="rId17">
        <w:r>
          <w:rPr>
            <w:rFonts w:ascii="Times New Roman" w:hAnsi="Times New Roman" w:eastAsia="宋体"/>
            <w:b w:val="0"/>
            <w:sz w:val="18"/>
            <w:color w:val="0563C1"/>
          </w:rPr>
          <w:t>FlashInfer #5171</w:t>
        </w:r>
      </w:hyperlink>
      <w:r>
        <w:rPr>
          <w:rFonts w:ascii="Times New Roman" w:hAnsi="Times New Roman" w:eastAsia="宋体"/>
          <w:b w:val="0"/>
          <w:sz w:val="18"/>
        </w:rPr>
        <w:t xml:space="preserve"> 修复 BF16 rank-major session 测试兼容性；</w:t>
      </w:r>
      <w:hyperlink r:id="rId18">
        <w:r>
          <w:rPr>
            <w:rFonts w:ascii="Times New Roman" w:hAnsi="Times New Roman" w:eastAsia="宋体"/>
            <w:b w:val="0"/>
            <w:sz w:val="18"/>
            <w:color w:val="0563C1"/>
          </w:rPr>
          <w:t>Mirage #755</w:t>
        </w:r>
      </w:hyperlink>
      <w:r>
        <w:rPr>
          <w:rFonts w:ascii="Times New Roman" w:hAnsi="Times New Roman" w:eastAsia="宋体"/>
          <w:b w:val="0"/>
          <w:sz w:val="18"/>
        </w:rPr>
        <w:t xml:space="preserve"> 修复 Qwen3 demo 的 lm_head padding 配置导致的异常 token。</w:t>
      </w:r>
    </w:p>
    <w:p>
      <w:r>
        <w:br w:type="page"/>
      </w:r>
    </w:p>
    <w:p>
      <w:pPr>
        <w:spacing w:before="120" w:after="80" w:line="298" w:lineRule="auto"/>
        <w:keepNext/>
        <w:snapToGrid w:val="0"/>
        <w:pBdr>
          <w:bottom w:val="single" w:sz="4" w:color="888888"/>
        </w:pBdr>
      </w:pPr>
      <w:r>
        <w:rPr>
          <w:rFonts w:ascii="黑体" w:hAnsi="黑体" w:eastAsia="黑体"/>
          <w:b/>
          <w:sz w:val="20"/>
        </w:rPr>
        <w:t>项目与科研</w:t>
      </w:r>
    </w:p>
    <w:p>
      <w:pPr>
        <w:spacing w:before="60" w:after="80" w:line="298" w:lineRule="auto"/>
        <w:keepNext/>
        <w:tabs>
          <w:tab w:pos="10658" w:val="right"/>
        </w:tabs>
        <w:snapToGrid w:val="0"/>
      </w:pPr>
      <w:r>
        <w:rPr>
          <w:rFonts w:ascii="黑体" w:hAnsi="黑体" w:eastAsia="黑体"/>
          <w:b/>
          <w:sz w:val="18"/>
        </w:rPr>
        <w:t>关键 Token 加权思维链蒸馏 ｜ AAAI 2027 已投稿</w:t>
      </w:r>
      <w:r>
        <w:rPr>
          <w:rFonts w:ascii="Times New Roman" w:hAnsi="Times New Roman" w:eastAsia="宋体"/>
          <w:b w:val="0"/>
          <w:sz w:val="17"/>
        </w:rPr>
        <w:tab/>
        <w:t>2026.01-至今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研究问题与职责：</w:t>
      </w:r>
      <w:r>
        <w:rPr>
          <w:rFonts w:ascii="Times New Roman" w:hAnsi="Times New Roman" w:eastAsia="宋体"/>
          <w:b w:val="0"/>
          <w:sz w:val="18"/>
        </w:rPr>
        <w:t>针对通用 CoT 蒸馏对关键推理 token 区分不足的问题，参与“结构恢复、关键 Token 加权监督、偏好优化”三阶段框架，负责模型训练、超参调优与 vLLM TP=4 评测。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训练方法：</w:t>
      </w:r>
      <w:r>
        <w:rPr>
          <w:rFonts w:ascii="Times New Roman" w:hAnsi="Times New Roman" w:eastAsia="宋体"/>
          <w:b w:val="0"/>
          <w:sz w:val="18"/>
        </w:rPr>
        <w:t>以逐 token 扰动教师推理后、参考答案生成似然的下降量估计 token 重要性，将其用于加权 SFT 与辅助损失，并完成 LoRA/DPO 训练及对照评测。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实验结果：</w:t>
      </w:r>
      <w:r>
        <w:rPr>
          <w:rFonts w:ascii="Times New Roman" w:hAnsi="Times New Roman" w:eastAsia="宋体"/>
          <w:b w:val="0"/>
          <w:sz w:val="18"/>
        </w:rPr>
        <w:t>Qwen2.5-7B-Instruct 在 GSM8K/SVAMP 达到 94.01%/94.00% accuracy，较最强基线提升 5.51/10.10 个百分点；论文已投稿 AAAI 2027。</w:t>
      </w:r>
    </w:p>
    <w:p>
      <w:pPr>
        <w:spacing w:before="60" w:after="80" w:line="298" w:lineRule="auto"/>
        <w:keepNext/>
        <w:tabs>
          <w:tab w:pos="10658" w:val="right"/>
        </w:tabs>
        <w:snapToGrid w:val="0"/>
      </w:pPr>
      <w:r>
        <w:rPr>
          <w:rFonts w:ascii="黑体" w:hAnsi="黑体" w:eastAsia="黑体"/>
          <w:b/>
          <w:sz w:val="18"/>
        </w:rPr>
        <w:t>Blackwell 多精度训练验证（B200）</w:t>
      </w:r>
      <w:r>
        <w:rPr>
          <w:rFonts w:ascii="Times New Roman" w:hAnsi="Times New Roman" w:eastAsia="宋体"/>
          <w:b w:val="0"/>
          <w:sz w:val="17"/>
        </w:rPr>
        <w:tab/>
        <w:t>2026.08-09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验证目标与实现：</w:t>
      </w:r>
      <w:r>
        <w:rPr>
          <w:rFonts w:ascii="Times New Roman" w:hAnsi="Times New Roman" w:eastAsia="宋体"/>
          <w:b w:val="0"/>
          <w:sz w:val="18"/>
        </w:rPr>
        <w:t>为验证低精度训练链路的数值、重启与强扩展稳定性，以 random-init + mock data 重建 dense decoder 工作负载，完成四种精度在 1/8 卡上的测试、BF16/NVFP4 在 1/2/4/8 卡上的强扩展，以及 80 项 Transformer Engine 前后向用例，覆盖 checkpoint save/load/restart。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验证结果：</w:t>
      </w:r>
      <w:r>
        <w:rPr>
          <w:rFonts w:ascii="Times New Roman" w:hAnsi="Times New Roman" w:eastAsia="宋体"/>
          <w:b w:val="0"/>
          <w:sz w:val="18"/>
        </w:rPr>
        <w:t>BF16/NVFP4 强扩展 24/24 次运行、共 720 optimizer steps 通过，重复运行的 step-time 中位数 CV&lt;1%；8 卡 NVFP4 相对 BF16 吞吐 1.265×、板卡 tokens/J 1.434×，80/80 用例有限值，BF16 checkpoint 恢复 loss 相对差异 1.38e-6；结果限定于 mock 工作负载，不外推真实数据收敛。</w:t>
      </w:r>
    </w:p>
    <w:p>
      <w:pPr>
        <w:spacing w:before="120" w:after="80" w:line="298" w:lineRule="auto"/>
        <w:keepNext/>
        <w:snapToGrid w:val="0"/>
        <w:pBdr>
          <w:bottom w:val="single" w:sz="4" w:color="888888"/>
        </w:pBdr>
      </w:pPr>
      <w:r>
        <w:rPr>
          <w:rFonts w:ascii="黑体" w:hAnsi="黑体" w:eastAsia="黑体"/>
          <w:b/>
          <w:sz w:val="20"/>
        </w:rPr>
        <w:t>综合素质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开发与性能工程：</w:t>
      </w:r>
      <w:r>
        <w:rPr>
          <w:rFonts w:ascii="Times New Roman" w:hAnsi="Times New Roman" w:eastAsia="宋体"/>
          <w:b w:val="0"/>
          <w:sz w:val="18"/>
        </w:rPr>
        <w:t>C/C++、Python、CUDA、Triton、PyTorch Extension；使用 Nsys、NCU、Compute Sanitizer 完成算子剖析、确定性验证和多卡回归。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技术方向：</w:t>
      </w:r>
      <w:r>
        <w:rPr>
          <w:rFonts w:ascii="Times New Roman" w:hAnsi="Times New Roman" w:eastAsia="宋体"/>
          <w:b w:val="0"/>
          <w:sz w:val="18"/>
        </w:rPr>
        <w:t>GPU 训练算子与大模型训练优化，具备 Attention backward、MoE Router、计算通信竞争、RL 路由回放及多卡数值/确定性验证经验。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语言与证书：</w:t>
      </w:r>
      <w:r>
        <w:rPr>
          <w:rFonts w:ascii="Times New Roman" w:hAnsi="Times New Roman" w:eastAsia="宋体"/>
          <w:b w:val="0"/>
          <w:sz w:val="18"/>
        </w:rPr>
        <w:t>IELTS 6.5、CET-6、华为 HCIA-AI；具备英文技术文档阅读与跨仓源码分析能力。</w:t>
      </w:r>
    </w:p>
    <w:sectPr w:rsidR="00FC693F" w:rsidRPr="0006063C" w:rsidSect="00034616">
      <w:pgSz w:w="11906" w:h="16838"/>
      <w:pgMar w:top="624" w:right="624" w:bottom="68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xfdg.github.io" TargetMode="External"/><Relationship Id="rId10" Type="http://schemas.openxmlformats.org/officeDocument/2006/relationships/hyperlink" Target="https://github.com/XFDG" TargetMode="External"/><Relationship Id="rId11" Type="http://schemas.openxmlformats.org/officeDocument/2006/relationships/image" Target="media/image1.png"/><Relationship Id="rId12" Type="http://schemas.openxmlformats.org/officeDocument/2006/relationships/hyperlink" Target="https://github.com/IQuestLab/IQuest-Q1" TargetMode="External"/><Relationship Id="rId13" Type="http://schemas.openxmlformats.org/officeDocument/2006/relationships/image" Target="media/image2.png"/><Relationship Id="rId14" Type="http://schemas.openxmlformats.org/officeDocument/2006/relationships/hyperlink" Target="https://github.com/kvcache-ai/Mooncake/pulls?q=is%3Apr+author%3AXFDG+is%3Amerged" TargetMode="External"/><Relationship Id="rId15" Type="http://schemas.openxmlformats.org/officeDocument/2006/relationships/hyperlink" Target="https://github.com/MooreThreads/tensorflow_musa_extension/pulls?q=is%3Apr+author%3AXFDG+is%3Amerged" TargetMode="External"/><Relationship Id="rId16" Type="http://schemas.openxmlformats.org/officeDocument/2006/relationships/hyperlink" Target="https://github.com/ray-project/ray/pull/66502" TargetMode="External"/><Relationship Id="rId17" Type="http://schemas.openxmlformats.org/officeDocument/2006/relationships/hyperlink" Target="https://github.com/flashinfer-ai/flashinfer/pull/5171" TargetMode="External"/><Relationship Id="rId18" Type="http://schemas.openxmlformats.org/officeDocument/2006/relationships/hyperlink" Target="https://github.com/mirage-project/mirage/pull/75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冯浩然_AIInfra中文简历_训练优化版</dc:title>
  <dc:subject/>
  <dc:creator>冯浩然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