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035789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52"/>
                <w:u w:val="none"/>
              </w:rPr>
              <w:t>Haoran Feng</w:t>
            </w:r>
          </w:p>
        </w:tc>
      </w:tr>
      <w:tr w:rsidR="006F3B20" w:rsidRPr="00035789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  <w:u w:val="none"/>
              </w:rPr>
              <w:t xml:space="preserve">Phone: (+86) 150 2499 9885    Email: 225010160@link.cuhk.edu.cn    Website: </w:t>
            </w:r>
            <w:hyperlink r:id="rId8">
              <w:r>
                <w:rPr>
                  <w:rFonts w:ascii="Times New Roman" w:hAnsi="Times New Roman" w:eastAsia="宋体"/>
                  <w:b w:val="0"/>
                  <w:color w:val="0563C1"/>
                  <w:sz w:val="20"/>
                  <w:u w:val="single"/>
                </w:rPr>
                <w:t>xfdg.github.io</w:t>
              </w:r>
            </w:hyperlink>
          </w:p>
        </w:tc>
      </w:tr>
      <w:tr w:rsidR="00DF3720" w:rsidRPr="00035789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035789" w:rsidRDefault="00DF3720">
            <w:pPr>
              <w:rPr>
                <w:rFonts w:ascii="Times New Roman" w:hAnsi="Times New Roman" w:cstheme="minorHAnsi"/>
                <w:b/>
                <w:u w:val="single"/>
              </w:rPr>
            </w:pPr>
          </w:p>
        </w:tc>
      </w:tr>
      <w:tr w:rsidR="006F3B20" w:rsidRPr="00035789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  <w:u w:val="none"/>
              </w:rPr>
              <w:t>EDUCATION</w:t>
            </w:r>
          </w:p>
        </w:tc>
      </w:tr>
      <w:tr w:rsidR="006F3B20" w:rsidRPr="00035789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Sep 2025 - Jun 2027 (Expected)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CUHK-Shenzhen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M.S., Integrated Circuits and Systems</w:t>
            </w:r>
          </w:p>
        </w:tc>
      </w:tr>
      <w:tr w:rsidR="00DC174E" w:rsidRPr="00035789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Sep 2021 - Jun 2025</w:t>
            </w:r>
          </w:p>
        </w:tc>
        <w:tc>
          <w:tcPr>
            <w:tcW w:w="2877" w:type="dxa"/>
            <w:tcBorders>
              <w:top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Shandong University (985)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B.Eng., Electronic Science / Computer Science</w:t>
            </w:r>
          </w:p>
        </w:tc>
      </w:tr>
      <w:tr w:rsidR="00DC174E" w:rsidRPr="00035789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  <w:u w:val="none"/>
              </w:rPr>
              <w:t>Honors: Academic Scholarship (Top 20%); Special Talent Scholarship in Innovation, Shandong University</w:t>
            </w:r>
          </w:p>
        </w:tc>
      </w:tr>
    </w:tbl>
    <w:p w14:paraId="483CC4CC" w14:textId="77777777" w:rsidR="00DD3AE0" w:rsidRPr="00035789" w:rsidRDefault="00DD3AE0" w:rsidP="005026A7">
      <w:pPr>
        <w:tabs>
          <w:tab w:val="left" w:pos="5136"/>
        </w:tabs>
        <w:spacing w:after="0" w:line="240" w:lineRule="auto"/>
        <w:rPr>
          <w:rFonts w:ascii="Times New Roman" w:hAnsi="Times New Roman"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035789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  <w:u w:val="none"/>
              </w:rPr>
              <w:t>INTERNSHIP EXPERIENCE</w:t>
            </w:r>
          </w:p>
        </w:tc>
      </w:tr>
      <w:tr w:rsidR="00E81496" w:rsidRPr="00035789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Apr 2026 - Present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Ubiquant Investment - AI Lab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LLM and HPC Intern</w:t>
            </w:r>
          </w:p>
        </w:tc>
      </w:tr>
      <w:tr w:rsidR="00E81496" w:rsidRPr="00035789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Lines w:val="0"/>
              <w:spacing w:before="0" w:after="9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300B-class MoE foundation model development and optimization: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Developing training, inference, and RL-rollout infrastructure for an internal 300B-class MoE foundation model, with ownership spanning kernel performance, runtime stability, and multi-GPU validation.</w:t>
            </w:r>
          </w:p>
          <w:p>
            <w:pPr>
              <w:keepLines w:val="0"/>
              <w:spacing w:before="0" w:after="5" w:line="240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Training Kernel Support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FA3 deterministic SWA backward: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Used Nsys/NCU factorization to attribute 99.67% of deterministic overhead to the dQ semaphore chain. Implemented contributor-relative tickets aligned with the reverse scheduler in the fused kernel, with no new kernel/workspace/D2H and a short-sequence fallback. Cut packed backward from 6.755 to 1.699 ms (3.98x), achieved 1.59-5.37x at 2K-12K, and passed 3,601/3,601 regressions plus 1,000 bitwise repeats.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Sink FC1 GEMM and communication contention: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Corrected FC1 to BF16 8192x3072x3072 and isolated cross-stream communication contention rather than a slow GEMM. Built a 4xH200 dual-stream proxy, sweeping NCCL CTA budgets and DeepGEMM SM budgets (121 coarse, 89 fine) with Nsys grid/overlap checks. In the AllGather proxy, 12 CTA + DG120 reduced joint span by 12.80%, including 7.58% independent gain from compute throttling; AllToAll gains were attributed to communication parallelism.</w:t>
            </w:r>
          </w:p>
          <w:p>
            <w:pPr>
              <w:keepLines w:val="0"/>
              <w:spacing w:before="0" w:after="5" w:line="240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Inference Kernel Support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Deterministic MoE Router GEMM under CUDA Graph: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Integrated DeepGEMM, Triton Full-K, and persistent backends in vLLM; owned the tensor-signature selector, pre-capture numeric/graph preflight, cache/fallback, workspace lifecycle, and path tests. Replay freezes the backend decision. Reduced median latency of 48 router GEMMs by 73.39%, passed 135/135 kernel and 20/20 model bitwise checks, and improved prefix-cache-hit request throughput by 3.81%/4.36% on TP1/TP2.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Asynchronous OE state operator: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Kept recent-token history and oe_input_ids construction on GPU with Triton fused hashing, fixing cross-step state for prefill/decode/mixed batches/recovery/slot reuse/reorder. Passed 28/28 TP1 cases with +4.99% throughput; the TP&gt;1 async-unfused batch-invariant path reached 84/84 with zero mismatches and +4.6%/+3.0% decode throughput on TP2/TP4.</w:t>
            </w:r>
          </w:p>
          <w:p>
            <w:pPr>
              <w:keepLines w:val="0"/>
              <w:spacing w:before="0" w:after="5" w:line="240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RL Training-Inference Consistency and Rollout Reliability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R3 Router Replay and multi-GPU observability: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Built token/layer/top-k route capture, transport, training-side replay, response-mask alignment, and mismatch/f-tau2/KL diagnostics between vLLM and Megatron. On 8xH200/Qwen3-30B-A3B, reduced route mismatch from 17-19% to 0, f-tau2 by 36-145x, and KL by 4-7x; extended to a monitored 128-GPU, 200-step rollout on an internal 300B-class MoE foundation model with aligned key metrics.</w:t>
            </w:r>
          </w:p>
          <w:p>
            <w:pPr>
              <w:keepLines w:val="0"/>
              <w:spacing w:before="0" w:after="13" w:line="240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FlashInfer CUDA Graph hang: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Reproduced a vLLM TP=2 FULL CUDA Graph rollout hang on two H200 GPUs. TP/eager/graph/fused controls traced it to FTZ misclassifying a Lamport -0.0 sentinel in fused AllReduce + RMSNorm. Backported the upstream 0x80000000 bitwise fix; repeated model graph on/off replays had no hang or timeout.</w:t>
            </w:r>
          </w:p>
          <w:p>
            <w:pPr>
              <w:keepLines w:val="0"/>
              <w:spacing w:before="0" w:after="11" w:line="240" w:lineRule="auto"/>
              <w:ind w:left="0" w:firstLine="0"/>
            </w:pPr>
            <w:r>
              <w:rPr>
                <w:rFonts w:ascii="Times New Roman" w:hAnsi="Times New Roman" w:eastAsia="宋体"/>
                <w:b/>
                <w:sz w:val="17"/>
                <w:u w:val="none"/>
              </w:rPr>
              <w:t>Jan 2026 - Apr 2026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 xml:space="preserve">                    Moore Threads                    Operator &amp; Compiler Optimization Intern</w:t>
            </w:r>
          </w:p>
          <w:p>
            <w:pPr>
              <w:keepLines w:val="0"/>
              <w:spacing w:before="0" w:after="2" w:line="240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TensorFlow MUSA Extension, graph optimization, and reliability: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Integrated muDNN GELU, repaired the fusion pipeline, and optimized hot paths; all 11 GELUs fused and representative-shape latency fell 36.6%. Reworked HostMemory after tracing shape tensors entering the device path, lifting success from about 30% at 500 iterations to 100% at 1,000 and passing 40K/400K/800K stress runs. Reduced Logical_Or from 21.2 to 10.7 us and raised end-to-end throughput from 8187.48 to 8284.65.</w:t>
            </w:r>
          </w:p>
        </w:tc>
      </w:tr>
      <w:tr w:rsidR="00553A28" w:rsidRPr="00035789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  <w:u w:val="none"/>
              </w:rPr>
              <w:t>OPEN-SOURCE CONTRIBUTIONS</w:t>
            </w:r>
          </w:p>
        </w:tc>
      </w:tr>
      <w:tr w:rsidR="00553A28" w:rsidRPr="00035789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Aug - Sep 2026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035789" w:rsidRDefault="00553A28" w:rsidP="00762FCC">
            <w:pPr>
              <w:jc w:val="center"/>
              <w:rPr>
                <w:rFonts w:ascii="Times New Roman" w:eastAsia="黑体" w:hAnsi="Times New Roman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Merged External Contributions</w:t>
            </w:r>
          </w:p>
        </w:tc>
      </w:tr>
      <w:tr w:rsidR="00553A28" w:rsidRPr="00035789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0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5 merged external PRs (XFDG): Mooncake </w:t>
            </w:r>
            <w:hyperlink r:id="rId10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#3601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9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#3604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4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#3660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5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#3726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 (Merged),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covering storage durability, RDMA recovery, memory-unregister lifecycle, and queue error propagation; Mirage </w:t>
            </w:r>
            <w:hyperlink r:id="rId16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#755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 (Merged) fixes argmax padding rows.</w:t>
            </w:r>
          </w:p>
        </w:tc>
      </w:tr>
    </w:tbl>
    <w:p>
      <w:r>
        <w:br w:type="page"/>
      </w: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553A28" w:rsidRPr="00035789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  <w:u w:val="none"/>
              </w:rPr>
              <w:t>PROJECTS AND RESEARCH</w:t>
            </w:r>
          </w:p>
        </w:tc>
      </w:tr>
      <w:tr w:rsidR="00553A28" w:rsidRPr="00035789" w14:paraId="507C14BE" w14:textId="77777777" w:rsidTr="000F3B2E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Dec 2025 - Present</w:t>
            </w:r>
          </w:p>
        </w:tc>
        <w:tc>
          <w:tcPr>
            <w:tcW w:w="526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7"/>
                <w:u w:val="none"/>
              </w:rPr>
              <w:t>High-Performance Quantized LLM Runtime with PyTorch Extensions</w:t>
            </w:r>
          </w:p>
        </w:tc>
      </w:tr>
      <w:tr w:rsidR="00553A28" w:rsidRPr="00035789" w14:paraId="2ADBC656" w14:textId="77777777" w:rsidTr="00571FB1">
        <w:trPr>
          <w:gridAfter w:val="1"/>
          <w:wAfter w:w="726" w:type="dxa"/>
        </w:trPr>
        <w:tc>
          <w:tcPr>
            <w:tcW w:w="10080" w:type="dxa"/>
            <w:gridSpan w:val="4"/>
            <w:vAlign w:val="top"/>
          </w:tcPr>
          <w:p>
            <w:pPr>
              <w:keepLines w:val="0"/>
              <w:spacing w:before="0" w:after="4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H200 quantized-runtime deployment and TP2 extension: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To deliver 32B quantized inference on two H200 GPUs, owned W4A16/W8A8/FP8 backend adaptation, FlashAttention-2/4 and GQA/soft-cap/SDPA integration, and kernel debugging. Used Compute Sanitizer to fix a tail-group out-of-bounds access, then implemented packed-AWQ TP=2 sharding with NCCL all-reduce. All four Sanitizer modes passed representative shapes; two-GPU Qwen2.5-Coder-32B W4A16 reduced checkpoint/peak memory by 70.5%/66.8% and increased end-to-end output throughput by 76.8%.</w:t>
            </w:r>
          </w:p>
        </w:tc>
      </w:tr>
      <w:tr w:rsidR="004E3AC1" w:rsidRPr="00035789" w14:paraId="6CCAAEF4" w14:textId="77777777" w:rsidTr="000F3B2E">
        <w:trPr>
          <w:gridAfter w:val="1"/>
          <w:wAfter w:w="726" w:type="dxa"/>
        </w:trPr>
        <w:tc>
          <w:tcPr>
            <w:tcW w:w="3601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  <w:t>Jan 2026 - Present</w:t>
            </w:r>
          </w:p>
        </w:tc>
        <w:tc>
          <w:tcPr>
            <w:tcW w:w="526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sz w:val="17"/>
                <w:u w:val="none"/>
              </w:rPr>
              <w:t>Token-Weighted CoT Distillation | AAAI 2027 Submission</w:t>
            </w:r>
          </w:p>
        </w:tc>
      </w:tr>
      <w:tr w:rsidR="004E3AC1" w:rsidRPr="00035789" w14:paraId="0BD698AA" w14:textId="77777777" w:rsidTr="00260936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2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Token-weighted CoT distillation: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To address the lack of token-level importance awareness in generic CoT distillation, contributed to a three-stage structure-recovery, token-weighted supervision, and preference-optimization pipeline. Owned training, hyperparameter tuning, and vLLM TP=4 evaluation; estimated importance from reference-answer likelihood drops after teacher-rationale perturbations and applied it to weighted SFT plus an auxiliary loss. Qwen2.5-7B-Instruct reached 94.01%/94.00% on GSM8K/SVAMP, +5.51/+10.10 points over the strongest baselines; manuscript submitted to AAAI 2027.</w:t>
            </w:r>
          </w:p>
        </w:tc>
      </w:tr>
    </w:tbl>
    <w:p w14:paraId="4C54A264" w14:textId="77777777" w:rsidR="00EB483F" w:rsidRPr="00035789" w:rsidRDefault="00EB483F" w:rsidP="006F3B20">
      <w:pPr>
        <w:spacing w:after="0" w:line="240" w:lineRule="auto"/>
        <w:rPr>
          <w:rFonts w:ascii="Times New Roman" w:hAnsi="Times New Roman"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035789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sz w:val="24"/>
                <w:u w:val="none"/>
              </w:rPr>
              <w:t>SKILLS</w:t>
            </w:r>
          </w:p>
        </w:tc>
      </w:tr>
      <w:tr w:rsidR="00553A28" w:rsidRPr="00035789" w14:paraId="439D9B40" w14:textId="77777777" w:rsidTr="00707CF7">
        <w:trPr>
          <w:trHeight w:val="532"/>
        </w:trPr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top"/>
          </w:tcPr>
          <w:p>
            <w:pPr>
              <w:keepLines w:val="0"/>
              <w:spacing w:before="0" w:after="4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Focus: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GPU high-performance kernel development and LLM training/inference optimization; experience in Attention, MoE routing, quantized GEMM, async state, tensor parallelism, and CUDA Graphs.</w:t>
            </w:r>
          </w:p>
          <w:p>
            <w:pPr>
              <w:keepLines w:val="0"/>
              <w:spacing w:before="0" w:after="4" w:line="240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Development and performance engineering: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C/C++, Python, CUDA, Triton, and PyTorch Extensions; profiling and correctness validation with Nsight Systems, Nsight Compute, and Compute Sanitizer.</w:t>
            </w:r>
          </w:p>
          <w:p>
            <w:pPr>
              <w:keepLines w:val="0"/>
              <w:spacing w:before="0" w:after="0" w:line="240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Languages and credentials: 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IELTS 6.5; CET-6; Huawei HCIA-AI certified. Experienced in reading technical documentation, source analysis, and cross-repository debugging.</w:t>
            </w:r>
          </w:p>
        </w:tc>
      </w:tr>
    </w:tbl>
    <w:p w14:paraId="1059BFF1" w14:textId="77777777" w:rsidR="00324654" w:rsidRPr="00035789" w:rsidRDefault="00324654" w:rsidP="00DF3720">
      <w:pPr>
        <w:spacing w:after="0" w:line="240" w:lineRule="auto"/>
        <w:rPr>
          <w:rFonts w:ascii="Times New Roman" w:hAnsi="Times New Roman" w:cstheme="minorHAnsi"/>
        </w:rPr>
      </w:pPr>
    </w:p>
    <w:sectPr w:rsidR="00324654" w:rsidRPr="000357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FEF8" w14:textId="77777777" w:rsidR="00F5089A" w:rsidRDefault="00F5089A" w:rsidP="00DC174E">
      <w:pPr>
        <w:spacing w:after="0" w:line="240" w:lineRule="auto"/>
      </w:pPr>
      <w:r>
        <w:separator/>
      </w:r>
    </w:p>
  </w:endnote>
  <w:endnote w:type="continuationSeparator" w:id="0">
    <w:p w14:paraId="45AE1E3E" w14:textId="77777777" w:rsidR="00F5089A" w:rsidRDefault="00F5089A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D622" w14:textId="77777777" w:rsidR="00F5089A" w:rsidRDefault="00F5089A" w:rsidP="00DC174E">
      <w:pPr>
        <w:spacing w:after="0" w:line="240" w:lineRule="auto"/>
      </w:pPr>
      <w:r>
        <w:separator/>
      </w:r>
    </w:p>
  </w:footnote>
  <w:footnote w:type="continuationSeparator" w:id="0">
    <w:p w14:paraId="5791FA44" w14:textId="77777777" w:rsidR="00F5089A" w:rsidRDefault="00F5089A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  <w:num w:numId="17" w16cid:durableId="1393188343">
    <w:abstractNumId w:val="0"/>
  </w:num>
  <w:num w:numId="18" w16cid:durableId="18143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35789"/>
    <w:rsid w:val="000578F8"/>
    <w:rsid w:val="0007678C"/>
    <w:rsid w:val="000863D1"/>
    <w:rsid w:val="000A24DF"/>
    <w:rsid w:val="000B0837"/>
    <w:rsid w:val="000D40DE"/>
    <w:rsid w:val="000E0D4A"/>
    <w:rsid w:val="000F3B2E"/>
    <w:rsid w:val="000F580F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79D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32598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23B2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E3AC1"/>
    <w:rsid w:val="004F0F80"/>
    <w:rsid w:val="004F2B59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1FB1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3719B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07CF7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E5EB0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45A9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16751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06240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1F03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089A"/>
    <w:rsid w:val="00F5281F"/>
    <w:rsid w:val="00F72765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D16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fdg.githu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225010160@link.cuhk.edu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review.net/forum?id=6eDZdA6IGW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vcache-ai/Mooncake/pull/36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vcache-ai/Mooncake/pull/3604" TargetMode="External"/><Relationship Id="rId14" Type="http://schemas.openxmlformats.org/officeDocument/2006/relationships/hyperlink" Target="https://github.com/kvcache-ai/Mooncake/pull/3660" TargetMode="External"/><Relationship Id="rId15" Type="http://schemas.openxmlformats.org/officeDocument/2006/relationships/hyperlink" Target="https://github.com/kvcache-ai/Mooncake/pull/3726" TargetMode="External"/><Relationship Id="rId16" Type="http://schemas.openxmlformats.org/officeDocument/2006/relationships/hyperlink" Target="https://github.com/mirage-project/mirage/pull/755" TargetMode="External"/><Relationship Id="rId17" Type="http://schemas.openxmlformats.org/officeDocument/2006/relationships/hyperlink" Target="https://github.com/jokerhan01/cot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700</Words>
  <Characters>4413</Characters>
  <Application>Microsoft Office Word</Application>
  <DocSecurity>0</DocSecurity>
  <Lines>89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Haoran Feng - AI Infrastructure Resume</dc:title>
  <dc:subject>AI Infrastructure Resume</dc:subject>
  <dc:creator>冯浩然 / Haoran Feng</dc:creator>
  <cp:keywords/>
  <dc:description>Updated 2026-09-15</dc:description>
  <cp:lastModifiedBy>浩然 冯</cp:lastModifiedBy>
  <cp:revision>7</cp:revision>
  <cp:lastPrinted>2026-09-01T15:00:00Z</cp:lastPrinted>
  <dcterms:created xsi:type="dcterms:W3CDTF">2026-09-01T14:38:00Z</dcterms:created>
  <dcterms:modified xsi:type="dcterms:W3CDTF">2026-09-01T15:00:00Z</dcterms:modified>
</cp:coreProperties>
</file>