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98" w:lineRule="auto"/>
        <w:snapToGrid w:val="0"/>
        <w:jc w:val="center"/>
      </w:pPr>
      <w:r>
        <w:rPr>
          <w:rFonts w:ascii="Times New Roman" w:hAnsi="Times New Roman" w:eastAsia="宋体"/>
          <w:b/>
          <w:sz w:val="52"/>
        </w:rPr>
        <w:t>Haoran Feng</w:t>
      </w:r>
    </w:p>
    <w:p>
      <w:pPr>
        <w:spacing w:before="0" w:after="80" w:line="298" w:lineRule="auto"/>
        <w:snapToGrid w:val="0"/>
        <w:jc w:val="center"/>
      </w:pPr>
      <w:r>
        <w:rPr>
          <w:rFonts w:ascii="Times New Roman" w:hAnsi="Times New Roman" w:eastAsia="宋体"/>
          <w:b w:val="0"/>
          <w:sz w:val="18"/>
        </w:rPr>
        <w:t xml:space="preserve">Phone: +86 15024999885 | Email: 225010160@link.cuhk.edu.cn | </w:t>
      </w:r>
      <w:hyperlink r:id="rId9">
        <w:r>
          <w:rPr>
            <w:rFonts w:ascii="Times New Roman" w:hAnsi="Times New Roman" w:eastAsia="宋体"/>
            <w:b w:val="0"/>
            <w:sz w:val="18"/>
            <w:color w:val="0563C1"/>
          </w:rPr>
          <w:t>xfdg.github.io</w:t>
        </w:r>
      </w:hyperlink>
      <w:r>
        <w:rPr>
          <w:rFonts w:ascii="Times New Roman" w:hAnsi="Times New Roman" w:eastAsia="宋体"/>
          <w:b w:val="0"/>
          <w:sz w:val="18"/>
        </w:rPr>
        <w:t xml:space="preserve"> | </w:t>
      </w:r>
      <w:hyperlink r:id="rId10">
        <w:r>
          <w:rPr>
            <w:rFonts w:ascii="Times New Roman" w:hAnsi="Times New Roman" w:eastAsia="宋体"/>
            <w:b w:val="0"/>
            <w:sz w:val="18"/>
            <w:color w:val="0563C1"/>
          </w:rPr>
          <w:t>GitHub: XFDG</w:t>
        </w:r>
      </w:hyperlink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Arial" w:hAnsi="Arial" w:eastAsia="黑体"/>
          <w:b/>
          <w:sz w:val="20"/>
        </w:rPr>
        <w:t>EDUCATION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Arial" w:hAnsi="Arial" w:eastAsia="黑体"/>
          <w:b/>
          <w:sz w:val="18"/>
        </w:rPr>
        <w:t>CUHK-Shenzhen | M.S., Integrated Circuits and Systems</w:t>
      </w:r>
      <w:r>
        <w:rPr>
          <w:rFonts w:ascii="Times New Roman" w:hAnsi="Times New Roman" w:eastAsia="宋体"/>
          <w:b w:val="0"/>
          <w:sz w:val="17"/>
        </w:rPr>
        <w:tab/>
        <w:t>Sep 2025 - Jun 2027 (Expected)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Arial" w:hAnsi="Arial" w:eastAsia="黑体"/>
          <w:b/>
          <w:sz w:val="18"/>
        </w:rPr>
        <w:t>Shandong University | B.Eng., Electronic Science / Computer Science</w:t>
      </w:r>
      <w:r>
        <w:rPr>
          <w:rFonts w:ascii="Times New Roman" w:hAnsi="Times New Roman" w:eastAsia="宋体"/>
          <w:b w:val="0"/>
          <w:sz w:val="17"/>
        </w:rPr>
        <w:tab/>
        <w:t>Sep 2021 - Jun 2025</w:t>
      </w:r>
    </w:p>
    <w:p>
      <w:pPr>
        <w:spacing w:before="0" w:after="80" w:line="298" w:lineRule="auto"/>
        <w:snapToGrid w:val="0"/>
      </w:pPr>
      <w:r>
        <w:rPr>
          <w:rFonts w:ascii="Times New Roman" w:hAnsi="Times New Roman" w:eastAsia="宋体"/>
          <w:b w:val="0"/>
          <w:sz w:val="18"/>
        </w:rPr>
        <w:t>Honors: Academic Scholarship (Top 20%); Special Talent Scholarship in Innovation, Shandong University.</w:t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Arial" w:hAnsi="Arial" w:eastAsia="黑体"/>
          <w:b/>
          <w:sz w:val="20"/>
        </w:rPr>
        <w:t>INTERNSHIP EXPERIENCE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drawing>
          <wp:inline xmlns:a="http://schemas.openxmlformats.org/drawingml/2006/main" xmlns:pic="http://schemas.openxmlformats.org/drawingml/2006/picture">
            <wp:extent cx="152400" cy="15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que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Arial" w:hAnsi="Arial" w:eastAsia="黑体"/>
          <w:b/>
          <w:sz w:val="18"/>
        </w:rPr>
        <w:t>Ubiquant Investment - IQuest Research | LLM &amp; HPC Intern</w:t>
      </w:r>
      <w:r>
        <w:rPr>
          <w:rFonts w:ascii="Times New Roman" w:hAnsi="Times New Roman" w:eastAsia="宋体"/>
          <w:b w:val="0"/>
          <w:sz w:val="17"/>
        </w:rPr>
        <w:tab/>
        <w:t>Apr 2026 - Present</w:t>
      </w:r>
    </w:p>
    <w:p>
      <w:pPr>
        <w:spacing w:before="0" w:after="80" w:line="298" w:lineRule="auto"/>
        <w:snapToGrid w:val="0"/>
      </w:pPr>
      <w:hyperlink r:id="rId12">
        <w:r>
          <w:rPr>
            <w:rFonts w:ascii="Times New Roman" w:hAnsi="Times New Roman" w:eastAsia="宋体"/>
            <w:b/>
            <w:sz w:val="18"/>
            <w:color w:val="0563C1"/>
          </w:rPr>
          <w:t>IQuest-Q1 (320B-A15B)</w:t>
        </w:r>
      </w:hyperlink>
      <w:r>
        <w:rPr>
          <w:rFonts w:ascii="Times New Roman" w:hAnsi="Times New Roman" w:eastAsia="宋体"/>
          <w:b/>
          <w:sz w:val="18"/>
        </w:rPr>
        <w:t xml:space="preserve"> MoE model development and optimization:</w:t>
      </w:r>
      <w:r>
        <w:rPr>
          <w:rFonts w:ascii="Times New Roman" w:hAnsi="Times New Roman" w:eastAsia="宋体"/>
          <w:b w:val="0"/>
          <w:sz w:val="18"/>
        </w:rPr>
        <w:t xml:space="preserve"> Contributed to training, inference, and RL-rollout infrastructure for the now-released model, focusing on kernel performance, training-inference consistency, runtime reliability, and multi-GPU validation.</w:t>
      </w:r>
    </w:p>
    <w:p>
      <w:pPr>
        <w:spacing w:before="0" w:after="80" w:line="298" w:lineRule="auto"/>
        <w:keepNext/>
        <w:snapToGrid w:val="0"/>
      </w:pPr>
      <w:r>
        <w:rPr>
          <w:rFonts w:ascii="Times New Roman" w:hAnsi="Times New Roman" w:eastAsia="宋体"/>
          <w:b/>
          <w:sz w:val="18"/>
        </w:rPr>
        <w:t>Training Kernel Optimization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FA3 deterministic SWA backward:</w:t>
      </w:r>
      <w:r>
        <w:rPr>
          <w:rFonts w:ascii="Times New Roman" w:hAnsi="Times New Roman" w:eastAsia="宋体"/>
          <w:b w:val="0"/>
          <w:sz w:val="18"/>
        </w:rPr>
        <w:t xml:space="preserve"> Investigated long-sequence backward slowdowns with Nsys/NCU, isolated the dQ semaphore chain, and implemented contributor-relative tickets aligned with the reverse scheduler. Reduced representative packed backward from 6.755 to 1.699 ms (3.98x), achieved 1.59-5.37x at 2K-12K, and delivered a wheel after 3,601 regressions and 1,000 bitwise repeat tests.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Sink FC1 compute/communication contention:</w:t>
      </w:r>
      <w:r>
        <w:rPr>
          <w:rFonts w:ascii="Times New Roman" w:hAnsi="Times New Roman" w:eastAsia="宋体"/>
          <w:b w:val="0"/>
          <w:sz w:val="18"/>
        </w:rPr>
        <w:t xml:space="preserve"> Built a 4xH200 dual-stream proxy to study FC1 degradation under concurrent communication. Swept NCCL CTA and DeepGEMM SM budgets across 121 coarse and 89 fine configurations. Reduced AllGatherV proxy joint span by 12.80%, including 7.58% independent gain from compute throttling at fixed communication settings.</w:t>
      </w:r>
    </w:p>
    <w:p>
      <w:pPr>
        <w:spacing w:before="0" w:after="80" w:line="298" w:lineRule="auto"/>
        <w:keepNext/>
        <w:snapToGrid w:val="0"/>
      </w:pPr>
      <w:r>
        <w:rPr>
          <w:rFonts w:ascii="Times New Roman" w:hAnsi="Times New Roman" w:eastAsia="宋体"/>
          <w:b/>
          <w:sz w:val="18"/>
        </w:rPr>
        <w:t>Inference Kernels and Runtime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Deterministic MoE Router GEMM:</w:t>
      </w:r>
      <w:r>
        <w:rPr>
          <w:rFonts w:ascii="Times New Roman" w:hAnsi="Times New Roman" w:eastAsia="宋体"/>
          <w:b w:val="0"/>
          <w:sz w:val="18"/>
        </w:rPr>
        <w:t xml:space="preserve"> Addressed small-M decode waste under CUDA Graph constraints by integrating DeepGEMM, Triton Full-K, and persistent backends in vLLM, with shape-aware selection, graph preflight, and cache/fallback. Cut median latency of 48 router GEMMs by 73.39%; passed 135 kernel and 20 model bitwise cases. With async OE and prefix-cache hits, request throughput improved 3.81%/4.36% on TP1/TP2.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Asynchronous OE state:</w:t>
      </w:r>
      <w:r>
        <w:rPr>
          <w:rFonts w:ascii="Times New Roman" w:hAnsi="Times New Roman" w:eastAsia="宋体"/>
          <w:b w:val="0"/>
          <w:sz w:val="18"/>
        </w:rPr>
        <w:t xml:space="preserve"> Moved token-history and oe_input_ids construction to GPU with Triton fused hashing, removing synchronization overhead and fixing cross-step recovery/slot-reuse semantics. TP1 passed 28/28 cases with +4.99% throughput; TP2/TP4 safe paths passed 84/84 with zero mismatches and +4.6%/+3.0% decode throughput.</w:t>
      </w:r>
    </w:p>
    <w:p>
      <w:pPr>
        <w:spacing w:before="0" w:after="80" w:line="298" w:lineRule="auto"/>
        <w:keepNext/>
        <w:snapToGrid w:val="0"/>
      </w:pPr>
      <w:r>
        <w:rPr>
          <w:rFonts w:ascii="Times New Roman" w:hAnsi="Times New Roman" w:eastAsia="宋体"/>
          <w:b/>
          <w:sz w:val="18"/>
        </w:rPr>
        <w:t>RL Consistency and Rollout Reliability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R3 Router Replay:</w:t>
      </w:r>
      <w:r>
        <w:rPr>
          <w:rFonts w:ascii="Times New Roman" w:hAnsi="Times New Roman" w:eastAsia="宋体"/>
          <w:b w:val="0"/>
          <w:sz w:val="18"/>
        </w:rPr>
        <w:t xml:space="preserve"> Connected vLLM route capture/transport to Megatron replay with response-mask alignment and mismatch/f_tau_2/KL monitoring. In an 8xH200 Qwen3-30B-A3B 20-step comparison, executed-route mismatch fell from 17-19% to zero, with f_tau_2/KL reduced 36-145x/4-7x. Extended to a 128-GPU, 200-step rollout during development of the 300B-class model.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FlashInfer CUDA Graph hang:</w:t>
      </w:r>
      <w:r>
        <w:rPr>
          <w:rFonts w:ascii="Times New Roman" w:hAnsi="Times New Roman" w:eastAsia="宋体"/>
          <w:b w:val="0"/>
          <w:sz w:val="18"/>
        </w:rPr>
        <w:t xml:space="preserve"> Built a two-H200 TP=2 reproducer and isolated FTZ misclassification of a Lamport sentinel using eager/graph and fused/unfused controls. Backported the upstream bitwise fix; repeated model-level graph replays showed no hang or timeout.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drawing>
          <wp:inline xmlns:a="http://schemas.openxmlformats.org/drawingml/2006/main" xmlns:pic="http://schemas.openxmlformats.org/drawingml/2006/picture">
            <wp:extent cx="535460" cy="152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rethread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460" cy="1524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rFonts w:ascii="Arial" w:hAnsi="Arial" w:eastAsia="黑体"/>
          <w:b/>
          <w:sz w:val="18"/>
        </w:rPr>
        <w:t>Moore Threads | Operator &amp; Compiler Optimization Intern</w:t>
      </w:r>
      <w:r>
        <w:rPr>
          <w:rFonts w:ascii="Times New Roman" w:hAnsi="Times New Roman" w:eastAsia="宋体"/>
          <w:b w:val="0"/>
          <w:sz w:val="17"/>
        </w:rPr>
        <w:tab/>
        <w:t>Jan 2026 - Apr 2026</w:t>
      </w:r>
    </w:p>
    <w:p>
      <w:pPr>
        <w:spacing w:before="0" w:after="80" w:line="298" w:lineRule="auto"/>
        <w:snapToGrid w:val="0"/>
      </w:pPr>
      <w:r>
        <w:rPr>
          <w:rFonts w:ascii="Times New Roman" w:hAnsi="Times New Roman" w:eastAsia="宋体"/>
          <w:b/>
          <w:sz w:val="18"/>
        </w:rPr>
        <w:t>TensorFlow backend engineering for MUSA GPUs:</w:t>
      </w:r>
      <w:r>
        <w:rPr>
          <w:rFonts w:ascii="Times New Roman" w:hAnsi="Times New Roman" w:eastAsia="宋体"/>
          <w:b w:val="0"/>
          <w:sz w:val="18"/>
        </w:rPr>
        <w:t xml:space="preserve"> Developed TensorFlow MUSA Extension operators, optimizer support, GELU graph fusion, profiling tools, and long-run reliability fixes.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Operators and fusion:</w:t>
      </w:r>
      <w:r>
        <w:rPr>
          <w:rFonts w:ascii="Times New Roman" w:hAnsi="Times New Roman" w:eastAsia="宋体"/>
          <w:b w:val="0"/>
          <w:sz w:val="18"/>
        </w:rPr>
        <w:t xml:space="preserve"> Integrated muDNN GELU and repaired fusion, enabling all 11 model GELUs to fuse and reducing representative-shape latency by 36.6%. Cut Logical_Or from 21.2 to 10.7 us; implemented or repaired Adam/AdaMax/GradientDescent paths and tests.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Reliability:</w:t>
      </w:r>
      <w:r>
        <w:rPr>
          <w:rFonts w:ascii="Times New Roman" w:hAnsi="Times New Roman" w:eastAsia="宋体"/>
          <w:b w:val="0"/>
          <w:sz w:val="18"/>
        </w:rPr>
        <w:t xml:space="preserve"> Traced random inference crashes to shape tensors entering the device path, reworked HostMemory, and repaired resource updates/session shutdown. Improved success from about 30% at 500 iterations to 100% at 1,000, with 40K/400K/800K stress runs passing.</w:t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Arial" w:hAnsi="Arial" w:eastAsia="黑体"/>
          <w:b/>
          <w:sz w:val="20"/>
        </w:rPr>
        <w:t>OPEN-SOURCE CONTRIBUTIONS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Mooncake - 7 merged PRs:</w:t>
      </w:r>
      <w:r>
        <w:rPr>
          <w:rFonts w:ascii="Times New Roman" w:hAnsi="Times New Roman" w:eastAsia="宋体"/>
          <w:b w:val="0"/>
          <w:sz w:val="18"/>
        </w:rPr>
        <w:t xml:space="preserve"> Fixed persistence ordering, RDMA recovery, memory-unregister lifecycle, queue failure propagation, replica selection, tenant-aware cleanup, and macOS build compatibility. </w:t>
      </w:r>
      <w:hyperlink r:id="rId14">
        <w:r>
          <w:rPr>
            <w:rFonts w:ascii="Times New Roman" w:hAnsi="Times New Roman" w:eastAsia="宋体"/>
            <w:b w:val="0"/>
            <w:sz w:val="18"/>
            <w:color w:val="0563C1"/>
          </w:rPr>
          <w:t>Merged PRs</w:t>
        </w:r>
      </w:hyperlink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Moore Threads TME - 10 merged PRs:</w:t>
      </w:r>
      <w:r>
        <w:rPr>
          <w:rFonts w:ascii="Times New Roman" w:hAnsi="Times New Roman" w:eastAsia="宋体"/>
          <w:b w:val="0"/>
          <w:sz w:val="18"/>
        </w:rPr>
        <w:t xml:space="preserve"> Contributed GELU fusion, optimizer operators, logical-operator/profiling improvements, resource-variable fixes, and long-run reliability. </w:t>
      </w:r>
      <w:hyperlink r:id="rId15">
        <w:r>
          <w:rPr>
            <w:rFonts w:ascii="Times New Roman" w:hAnsi="Times New Roman" w:eastAsia="宋体"/>
            <w:b w:val="0"/>
            <w:sz w:val="18"/>
            <w:color w:val="0563C1"/>
          </w:rPr>
          <w:t>Merged PRs</w:t>
        </w:r>
      </w:hyperlink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Other projects - 3 merged PRs:</w:t>
      </w:r>
      <w:r>
        <w:rPr>
          <w:rFonts w:ascii="Times New Roman" w:hAnsi="Times New Roman" w:eastAsia="宋体"/>
          <w:b w:val="0"/>
          <w:sz w:val="18"/>
        </w:rPr>
        <w:t xml:space="preserve"> </w:t>
      </w:r>
      <w:hyperlink r:id="rId16">
        <w:r>
          <w:rPr>
            <w:rFonts w:ascii="Times New Roman" w:hAnsi="Times New Roman" w:eastAsia="宋体"/>
            <w:b w:val="0"/>
            <w:sz w:val="18"/>
            <w:color w:val="0563C1"/>
          </w:rPr>
          <w:t>Ray #66502</w:t>
        </w:r>
      </w:hyperlink>
      <w:r>
        <w:rPr>
          <w:rFonts w:ascii="Times New Roman" w:hAnsi="Times New Roman" w:eastAsia="宋体"/>
          <w:b w:val="0"/>
          <w:sz w:val="18"/>
        </w:rPr>
        <w:t xml:space="preserve">: Serve gRPC handler routing; </w:t>
      </w:r>
      <w:hyperlink r:id="rId17">
        <w:r>
          <w:rPr>
            <w:rFonts w:ascii="Times New Roman" w:hAnsi="Times New Roman" w:eastAsia="宋体"/>
            <w:b w:val="0"/>
            <w:sz w:val="18"/>
            <w:color w:val="0563C1"/>
          </w:rPr>
          <w:t>FlashInfer #5171</w:t>
        </w:r>
      </w:hyperlink>
      <w:r>
        <w:rPr>
          <w:rFonts w:ascii="Times New Roman" w:hAnsi="Times New Roman" w:eastAsia="宋体"/>
          <w:b w:val="0"/>
          <w:sz w:val="18"/>
        </w:rPr>
        <w:t xml:space="preserve">: installed BF16 rank-major session tests; </w:t>
      </w:r>
      <w:hyperlink r:id="rId18">
        <w:r>
          <w:rPr>
            <w:rFonts w:ascii="Times New Roman" w:hAnsi="Times New Roman" w:eastAsia="宋体"/>
            <w:b w:val="0"/>
            <w:sz w:val="18"/>
            <w:color w:val="0563C1"/>
          </w:rPr>
          <w:t>Mirage #755</w:t>
        </w:r>
      </w:hyperlink>
      <w:r>
        <w:rPr>
          <w:rFonts w:ascii="Times New Roman" w:hAnsi="Times New Roman" w:eastAsia="宋体"/>
          <w:b w:val="0"/>
          <w:sz w:val="18"/>
        </w:rPr>
        <w:t>: Qwen3 demo lm_head padding that produced invalid tokens.</w:t>
      </w:r>
    </w:p>
    <w:p>
      <w:r>
        <w:br w:type="page"/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Arial" w:hAnsi="Arial" w:eastAsia="黑体"/>
          <w:b/>
          <w:sz w:val="20"/>
        </w:rPr>
        <w:t>PROJECTS AND RESEARCH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Arial" w:hAnsi="Arial" w:eastAsia="黑体"/>
          <w:b/>
          <w:sz w:val="18"/>
        </w:rPr>
        <w:t>High-Performance Quantized LLM Runtime with PyTorch Extensions</w:t>
      </w:r>
      <w:r>
        <w:rPr>
          <w:rFonts w:ascii="Times New Roman" w:hAnsi="Times New Roman" w:eastAsia="宋体"/>
          <w:b w:val="0"/>
          <w:sz w:val="17"/>
        </w:rPr>
        <w:tab/>
        <w:t>Dec 2025 - Present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Deployment objective and integration:</w:t>
      </w:r>
      <w:r>
        <w:rPr>
          <w:rFonts w:ascii="Times New Roman" w:hAnsi="Times New Roman" w:eastAsia="宋体"/>
          <w:b w:val="0"/>
          <w:sz w:val="18"/>
        </w:rPr>
        <w:t xml:space="preserve"> To serve a 32B quantized model on two H200 GPUs, implemented W4A16/W8A8/FP8 backend adaptation and integrated FlashAttention-2/4, GQA, softcap, and SDPA paths into the inference runtime.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Correctness and tensor parallelism:</w:t>
      </w:r>
      <w:r>
        <w:rPr>
          <w:rFonts w:ascii="Times New Roman" w:hAnsi="Times New Roman" w:eastAsia="宋体"/>
          <w:b w:val="0"/>
          <w:sz w:val="18"/>
        </w:rPr>
        <w:t xml:space="preserve"> Used Compute Sanitizer to locate a gemv_kernel_g128 tail-group out-of-bounds access and added boundary guards. Implemented packed-AWQ TP=2 column/row sharding with NCCL all-reduce. All four sanitizer modes passed representative shapes with zero errors/hazards; validated numerical outputs, cross-rank tokens, and interactive generation.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Results:</w:t>
      </w:r>
      <w:r>
        <w:rPr>
          <w:rFonts w:ascii="Times New Roman" w:hAnsi="Times New Roman" w:eastAsia="宋体"/>
          <w:b w:val="0"/>
          <w:sz w:val="18"/>
        </w:rPr>
        <w:t xml:space="preserve"> Qwen2.5-Coder-32B W4A16 reduced checkpoint size by 70.5% and peak GPU memory by 66.8%, while increasing end-to-end output throughput by 76.8% in the evaluated two-H200 deployment.</w:t>
      </w:r>
    </w:p>
    <w:p>
      <w:pPr>
        <w:spacing w:before="60" w:after="80" w:line="298" w:lineRule="auto"/>
        <w:keepNext/>
        <w:tabs>
          <w:tab w:pos="10658" w:val="right"/>
        </w:tabs>
        <w:snapToGrid w:val="0"/>
      </w:pPr>
      <w:r>
        <w:rPr>
          <w:rFonts w:ascii="Arial" w:hAnsi="Arial" w:eastAsia="黑体"/>
          <w:b/>
          <w:sz w:val="18"/>
        </w:rPr>
        <w:t>Key-Token-Weighted CoT Distillation | Submitted to AAAI 2027</w:t>
      </w:r>
      <w:r>
        <w:rPr>
          <w:rFonts w:ascii="Times New Roman" w:hAnsi="Times New Roman" w:eastAsia="宋体"/>
          <w:b w:val="0"/>
          <w:sz w:val="17"/>
        </w:rPr>
        <w:tab/>
        <w:t>Jan 2026 - Present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Problem and responsibility:</w:t>
      </w:r>
      <w:r>
        <w:rPr>
          <w:rFonts w:ascii="Times New Roman" w:hAnsi="Times New Roman" w:eastAsia="宋体"/>
          <w:b w:val="0"/>
          <w:sz w:val="18"/>
        </w:rPr>
        <w:t xml:space="preserve"> Addressed uniform supervision of reasoning tokens in conventional CoT distillation. Contributed to a three-stage framework of structure recovery, key-token-weighted supervision, and preference optimization; responsible for model training, hyperparameter tuning, and vLLM TP=4 evaluation.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Method:</w:t>
      </w:r>
      <w:r>
        <w:rPr>
          <w:rFonts w:ascii="Times New Roman" w:hAnsi="Times New Roman" w:eastAsia="宋体"/>
          <w:b w:val="0"/>
          <w:sz w:val="18"/>
        </w:rPr>
        <w:t xml:space="preserve"> Estimated token importance from the decrease in reference-answer likelihood after perturbing individual tokens in teacher rationales. Applied importance weights to SFT and an auxiliary loss, then completed LoRA/DPO training and comparative evaluation.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Results:</w:t>
      </w:r>
      <w:r>
        <w:rPr>
          <w:rFonts w:ascii="Times New Roman" w:hAnsi="Times New Roman" w:eastAsia="宋体"/>
          <w:b w:val="0"/>
          <w:sz w:val="18"/>
        </w:rPr>
        <w:t xml:space="preserve"> Qwen2.5-7B-Instruct achieved 94.01%/94.00% accuracy on GSM8K/SVAMP, improving on the strongest baselines by 5.51/10.10 percentage points. Manuscript submitted to AAAI 2027.</w:t>
      </w:r>
    </w:p>
    <w:p>
      <w:pPr>
        <w:spacing w:before="120" w:after="80" w:line="298" w:lineRule="auto"/>
        <w:keepNext/>
        <w:snapToGrid w:val="0"/>
        <w:pBdr>
          <w:bottom w:val="single" w:sz="4" w:color="888888"/>
        </w:pBdr>
      </w:pPr>
      <w:r>
        <w:rPr>
          <w:rFonts w:ascii="Arial" w:hAnsi="Arial" w:eastAsia="黑体"/>
          <w:b/>
          <w:sz w:val="20"/>
        </w:rPr>
        <w:t>SKILLS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Development and profiling:</w:t>
      </w:r>
      <w:r>
        <w:rPr>
          <w:rFonts w:ascii="Times New Roman" w:hAnsi="Times New Roman" w:eastAsia="宋体"/>
          <w:b w:val="0"/>
          <w:sz w:val="18"/>
        </w:rPr>
        <w:t xml:space="preserve"> C/C++, Python, CUDA, Triton, PyTorch Extensions; Nsight Systems, Nsight Compute, and Compute Sanitizer for kernel profiling, determinism checks, and multi-GPU regression testing.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Focus:</w:t>
      </w:r>
      <w:r>
        <w:rPr>
          <w:rFonts w:ascii="Times New Roman" w:hAnsi="Times New Roman" w:eastAsia="宋体"/>
          <w:b w:val="0"/>
          <w:sz w:val="18"/>
        </w:rPr>
        <w:t xml:space="preserve"> GPU kernels and LLM training/inference systems; Attention, MoE routing, quantized GEMM, tensor parallelism, and CUDA Graphs.</w:t>
      </w:r>
    </w:p>
    <w:p>
      <w:pPr>
        <w:spacing w:before="0" w:after="80" w:line="298" w:lineRule="auto"/>
        <w:snapToGrid w:val="0"/>
        <w:ind w:left="160" w:hanging="160"/>
      </w:pPr>
      <w:r>
        <w:rPr>
          <w:rFonts w:ascii="Times New Roman" w:hAnsi="Times New Roman" w:eastAsia="宋体"/>
          <w:b w:val="0"/>
          <w:sz w:val="18"/>
        </w:rPr>
        <w:t xml:space="preserve">• </w:t>
      </w:r>
      <w:r>
        <w:rPr>
          <w:rFonts w:ascii="Times New Roman" w:hAnsi="Times New Roman" w:eastAsia="宋体"/>
          <w:b/>
          <w:sz w:val="18"/>
        </w:rPr>
        <w:t>Languages and credentials:</w:t>
      </w:r>
      <w:r>
        <w:rPr>
          <w:rFonts w:ascii="Times New Roman" w:hAnsi="Times New Roman" w:eastAsia="宋体"/>
          <w:b w:val="0"/>
          <w:sz w:val="18"/>
        </w:rPr>
        <w:t xml:space="preserve"> IELTS 6.5; CET-6; Huawei HCIA-AI. Experienced in English technical documentation and cross-repository source analysis.</w:t>
      </w:r>
    </w:p>
    <w:sectPr w:rsidR="00FC693F" w:rsidRPr="0006063C" w:rsidSect="00034616">
      <w:pgSz w:w="11906" w:h="16838"/>
      <w:pgMar w:top="624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xfdg.github.io" TargetMode="External"/><Relationship Id="rId10" Type="http://schemas.openxmlformats.org/officeDocument/2006/relationships/hyperlink" Target="https://github.com/XFDG" TargetMode="External"/><Relationship Id="rId11" Type="http://schemas.openxmlformats.org/officeDocument/2006/relationships/image" Target="media/image1.png"/><Relationship Id="rId12" Type="http://schemas.openxmlformats.org/officeDocument/2006/relationships/hyperlink" Target="https://github.com/IQuestLab/IQuest-Q1" TargetMode="External"/><Relationship Id="rId13" Type="http://schemas.openxmlformats.org/officeDocument/2006/relationships/image" Target="media/image2.png"/><Relationship Id="rId14" Type="http://schemas.openxmlformats.org/officeDocument/2006/relationships/hyperlink" Target="https://github.com/kvcache-ai/Mooncake/pulls?q=is%3Apr+author%3AXFDG+is%3Amerged" TargetMode="External"/><Relationship Id="rId15" Type="http://schemas.openxmlformats.org/officeDocument/2006/relationships/hyperlink" Target="https://github.com/MooreThreads/tensorflow_musa_extension/pulls?q=is%3Apr+author%3AXFDG+is%3Amerged" TargetMode="External"/><Relationship Id="rId16" Type="http://schemas.openxmlformats.org/officeDocument/2006/relationships/hyperlink" Target="https://github.com/ray-project/ray/pull/66502" TargetMode="External"/><Relationship Id="rId17" Type="http://schemas.openxmlformats.org/officeDocument/2006/relationships/hyperlink" Target="https://github.com/flashinfer-ai/flashinfer/pull/5171" TargetMode="External"/><Relationship Id="rId18" Type="http://schemas.openxmlformats.org/officeDocument/2006/relationships/hyperlink" Target="https://github.com/mirage-project/mirage/pull/7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Haoran_Feng_AIInfra_Resume</dc:title>
  <dc:subject/>
  <dc:creator>冯浩然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