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Triton FP8 转换：从编译断言到明确的接口错误</w:t>
      </w:r>
    </w:p>
    <w:p>
      <w:r>
        <w:rPr>
          <w:b w:val="0"/>
        </w:rPr>
        <w:t>开发记录：2026-10-14 至 10-15。公开入口：</w:t>
      </w:r>
      <w:hyperlink r:id="rId11">
        <w:r>
          <w:rPr>
            <w:color w:val="12628A"/>
          </w:rPr>
          <w:t>issue #12259</w:t>
        </w:r>
      </w:hyperlink>
      <w:r>
        <w:rPr>
          <w:b w:val="0"/>
        </w:rPr>
        <w:t>、</w:t>
      </w:r>
      <w:hyperlink r:id="rId12">
        <w:r>
          <w:rPr>
            <w:color w:val="12628A"/>
          </w:rPr>
          <w:t>PR #12290</w:t>
        </w:r>
      </w:hyperlink>
      <w:r>
        <w:rPr>
          <w:b w:val="0"/>
        </w:rPr>
        <w:t>。</w:t>
      </w:r>
    </w:p>
    <w:p>
      <w:pPr>
        <w:pStyle w:val="Heading2"/>
      </w:pPr>
      <w:r>
        <w:t>1. 现象与最终选择</w:t>
      </w:r>
    </w:p>
    <w:p>
      <w:r>
        <w:rPr>
          <w:b w:val="0"/>
        </w:rPr>
        <w:t>E4M3 与 E5M2 直接转换未指定舍入模式时，NVIDIA 下沉路径发生断言。最终修订选择在前端清晰拒绝不支持的直接转换，保留用户显式写出的 FP16 中转链和同格式转换。最初自动插入 FP16 的方案已被维护者要求撤回，不能继续把它描述成最终实现。</w:t>
      </w:r>
    </w:p>
    <w:p>
      <w:pPr>
        <w:pStyle w:val="Heading2"/>
      </w:pPr>
      <w:r>
        <w:t>2. 定位：相同位宽不等于无需舍入</w:t>
      </w:r>
    </w:p>
    <w:p>
      <w:r>
        <w:rPr>
          <w:b w:val="0"/>
        </w:rPr>
        <w:t>原前端默认舍入逻辑主要依据目标 primitive 位宽是否减小。两种 FP8 都占 8 bit，但指数和尾数分配不同，因此同位宽转换仍可能需要舍入。</w:t>
      </w:r>
    </w:p>
    <w:p>
      <w:r>
        <w:rPr>
          <w:b w:val="0"/>
        </w:rPr>
        <w:t>第一次只补 RTNE 后，错误变为“不支持该格式对的转换”。这暴露出第二层限制：给出舍入模式不能凭空补齐后端转换实现。将两个错误分开，避免只修第一个断言就宣布问题解决。</w:t>
      </w:r>
    </w:p>
    <w:p>
      <w:r>
        <w:rPr>
          <w:b w:val="0"/>
        </w:rPr>
        <w:t xml:space="preserve">涉及位置为 </w:t>
      </w:r>
      <w:r>
        <w:rPr>
          <w:b w:val="0"/>
        </w:rPr>
        <w:t>python/triton/language/semantic.py</w:t>
      </w:r>
      <w:r>
        <w:rPr>
          <w:b w:val="0"/>
        </w:rPr>
        <w:t xml:space="preserve">，回归加入已有 </w:t>
      </w:r>
      <w:r>
        <w:rPr>
          <w:b w:val="0"/>
        </w:rPr>
        <w:t>python/test/unit/language/test_core.py</w:t>
      </w:r>
      <w:r>
        <w:rPr>
          <w:b w:val="0"/>
        </w:rPr>
        <w:t>。</w:t>
      </w:r>
    </w:p>
    <w:p>
      <w:pPr>
        <w:pStyle w:val="Heading2"/>
      </w:pPr>
      <w:r>
        <w:t>3. 第一版：隐式 FP16 中转</w:t>
      </w:r>
    </w:p>
    <w:p>
      <w:r>
        <w:rPr>
          <w:b w:val="0"/>
        </w:rPr>
        <w:t>有限 FP8 值可以精确扩展到 FP16，再走已有 FP16 到 FP8 的舍入路径。第一版据此避免直接下沉到缺失转换。</w:t>
      </w:r>
    </w:p>
    <w:p>
      <w:r>
        <w:rPr>
          <w:b w:val="0"/>
        </w:rPr>
        <w:t>原版与修复版共享同一份、匹配源码的原生编译库，只改变 Python 前端和新增测试，减少编译环境差异。测试曾因 masked load 使用整数填充值而在目标转换之前失败；改为浮点填充值后才进入有效的转换验证。</w:t>
      </w:r>
    </w:p>
    <w:p>
      <w:r>
        <w:rPr>
          <w:b w:val="0"/>
        </w:rPr>
        <w:t>第一版记录中，SM89/SM90 双向编译检查通过，H200 新回归 6 项和既有转换子集 48 项通过。数值样本限制为共同范围的有限编码，覆盖 signed zero、次正规数和舍入边界；没有声称覆盖溢出及 NaN 策略。</w:t>
      </w:r>
    </w:p>
    <w:p>
      <w:pPr>
        <w:pStyle w:val="Heading2"/>
      </w:pPr>
      <w:r>
        <w:t>4. Review：数值正确与语言契约是两件事</w:t>
      </w:r>
    </w:p>
    <w:p>
      <w:r>
        <w:rPr>
          <w:b w:val="0"/>
        </w:rPr>
        <w:t>维护者不接受隐式 upcast/downcast。返修移除了自动中转，并验证三类行为：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输入操作</w:t>
            </w:r>
          </w:p>
        </w:tc>
        <w:tc>
          <w:tcPr>
            <w:tcW w:type="dxa" w:w="4989"/>
          </w:tcPr>
          <w:p>
            <w:r>
              <w:rPr>
                <w:b/>
              </w:rPr>
              <w:t>返修后的预期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直接 E4M3 → E5M2 或反向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清晰的前端错误，不进入底层断言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用户显式 FP8 → FP16 → 另一 FP8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保持可用并与独立参考比对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同格式 identity cast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保持全部编码</w:t>
            </w:r>
          </w:p>
        </w:tc>
      </w:tr>
    </w:tbl>
    <w:p>
      <w:r>
        <w:rPr>
          <w:b w:val="0"/>
        </w:rPr>
        <w:t>这一步不是继续扩展支持范围，而是明确当前能力边界。错误检查不能仅接受“任意非零退出”，否则内部崩溃也可能被误当作正确拒绝。</w:t>
      </w:r>
    </w:p>
    <w:p>
      <w:pPr>
        <w:pStyle w:val="Heading2"/>
      </w:pPr>
      <w:r>
        <w:t>5. 返修验证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能证明什么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已发布旧补丁的编译对照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直接转换可编译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确认被移除的隐式行为原先存在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SM89/SM90 编译矩阵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12/12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 个前端拒绝、4 个显式链成功、4 个 identity 成功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H200 新回归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14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含双向拒绝、6 个显式链数值检查、2 个 identity 检查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既有浮点转换子集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48 通过，110 未选入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已选范围没有发现回归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定向代码检查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12 通过，6 不适用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适用静态检查完成</w:t>
            </w:r>
          </w:p>
        </w:tc>
      </w:tr>
    </w:tbl>
    <w:p>
      <w:r>
        <w:rPr>
          <w:b w:val="0"/>
        </w:rPr>
        <w:t>数值链与 Torch 参考按字节比较；identity 覆盖全部 256 编码。SM89 没有物理运行验证，也未覆盖 AMD、解释器或完整项目 CI。</w:t>
      </w:r>
    </w:p>
    <w:p>
      <w:pPr>
        <w:pStyle w:val="Heading2"/>
      </w:pPr>
      <w:r>
        <w:t>6. 发布与边界</w:t>
      </w:r>
    </w:p>
    <w:p>
      <w:r>
        <w:rPr>
          <w:b w:val="0"/>
        </w:rPr>
        <w:t>10 月 15 日以普通新提交更新原 PR、正文及 issue 说明，并请求维护者复审；原记录仍为等待复审，不代表已批准或已合入。本次归档未查询最新状态。</w:t>
      </w:r>
    </w:p>
    <w:p>
      <w:r>
        <w:rPr>
          <w:b w:val="0"/>
        </w:rPr>
        <w:t>本例的经验是先拆开 frontend 策略、lowering 能力和数值语义三个层次。可运行的替代实现仍须符合项目对隐式转换的设计要求。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riton-lang/triton/issues/12259" TargetMode="External"/><Relationship Id="rId12" Type="http://schemas.openxmlformats.org/officeDocument/2006/relationships/hyperlink" Target="https://github.com/triton-lang/triton/pull/12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