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/>
      <w:r>
        <w:rPr>
          <w:rFonts w:ascii="SimSun" w:hAnsi="SimSun" w:eastAsia="SimSun"/>
          <w:b/>
          <w:sz w:val="36"/>
        </w:rPr>
        <w:t>培训实施记录表</w:t>
      </w:r>
    </w:p>
    <w:p>
      <w:pPr>
        <w:spacing w:after="120" w:line="276" w:lineRule="auto"/>
        <w:jc w:val="right"/>
      </w:pPr>
      <w:r/>
      <w:r>
        <w:rPr>
          <w:rFonts w:ascii="SimSun" w:hAnsi="SimSun" w:eastAsia="SimSun"/>
          <w:b w:val="0"/>
          <w:sz w:val="21"/>
        </w:rPr>
        <w:t>表格编号：JCKJ-FM-HR-010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368"/>
      </w:tblGrid>
      <w:tr>
        <w:trPr>
          <w:trHeight w:val="936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培训时间、地点：</w:t>
              <w:br/>
              <w:t>地点：公司培训室/校准工位                               时间：2026年3月13日、2026年3月20日 14:00-16:00</w:t>
            </w:r>
          </w:p>
        </w:tc>
      </w:tr>
      <w:tr>
        <w:trPr>
          <w:trHeight w:val="1008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主讲人：李作浪                  培训时长：4H               记录人：________</w:t>
              <w:br/>
              <w:t>应到人数：________                实到人数：________</w:t>
            </w:r>
          </w:p>
        </w:tc>
      </w:tr>
      <w:tr>
        <w:trPr>
          <w:trHeight w:val="691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培训主题：关键传感器原理与校准操作实务</w:t>
            </w:r>
          </w:p>
        </w:tc>
      </w:tr>
      <w:tr>
        <w:trPr>
          <w:trHeight w:val="1440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参加培训人员：</w:t>
              <w:br/>
              <w:t>培训对象：校准员、检验员</w:t>
              <w:br/>
              <w:t>签到：______________________________________________________________________________</w:t>
              <w:br/>
              <w:t>____________________________________________________________________________________</w:t>
            </w:r>
          </w:p>
        </w:tc>
      </w:tr>
      <w:tr>
        <w:trPr>
          <w:trHeight w:val="2232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培训内容摘要：</w:t>
              <w:br/>
              <w:t>1. 讲解PM10、PM2.5光散射原理及采样流路对数据稳定性的影响。</w:t>
              <w:br/>
              <w:t>2. 讲解SO2、NO2、CO、O3、TVOC传感器工作原理、交叉干扰和寿命管理。</w:t>
              <w:br/>
              <w:t>3. 演示零点/跨度校准、标准物质使用、校准前后数据确认方法。</w:t>
              <w:br/>
              <w:t>4. 组织盲样测试，训练校准记录填写、异常判定和校准失效处置。</w:t>
            </w:r>
          </w:p>
        </w:tc>
      </w:tr>
      <w:tr>
        <w:trPr>
          <w:trHeight w:val="1037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培训材料：</w:t>
              <w:br/>
              <w:t>传感器说明书；校准SOP；标准气体/标准颗粒物操作规程；校准记录表。</w:t>
            </w:r>
          </w:p>
        </w:tc>
      </w:tr>
      <w:tr>
        <w:trPr>
          <w:trHeight w:val="1555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培训效果评估：</w:t>
              <w:br/>
              <w:t>采用实操考核和盲样测试方式评价。参训人员能够按SOP完成校准准备、操作、数据判定和记录填写；对关键步骤漏项人员安排补训补考。</w:t>
              <w:br/>
              <w:t>考核结果：□合格  □需补训  □需补考    备注：____________________________</w:t>
            </w:r>
          </w:p>
        </w:tc>
      </w:tr>
      <w:tr>
        <w:trPr>
          <w:trHeight w:val="648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评价人：________________（质量/部门负责人）        日期：________年____月____日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