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240" w:after="400" w:line="300" w:lineRule="auto"/>
        <w:jc w:val="center"/>
      </w:pPr>
      <w:r>
        <w:rPr>
          <w:rFonts w:ascii="Calibri" w:hAnsi="Calibri" w:eastAsia="Microsoft YaHei"/>
          <w:b/>
          <w:i w:val="0"/>
          <w:color w:val="7A5A00"/>
          <w:sz w:val="22"/>
        </w:rPr>
        <w:t>技术服务文件</w:t>
      </w:r>
    </w:p>
    <w:p>
      <w:pPr>
        <w:keepNext w:val="0"/>
        <w:spacing w:before="0" w:after="240" w:line="276" w:lineRule="auto"/>
        <w:jc w:val="center"/>
      </w:pPr>
      <w:r>
        <w:rPr>
          <w:rFonts w:ascii="Calibri" w:hAnsi="Calibri" w:eastAsia="Microsoft YaHei"/>
          <w:b/>
          <w:i w:val="0"/>
          <w:color w:val="1F4D78"/>
          <w:sz w:val="56"/>
        </w:rPr>
        <w:t>空气微站系列操作说明书</w:t>
      </w:r>
    </w:p>
    <w:p>
      <w:pPr>
        <w:keepNext w:val="0"/>
        <w:spacing w:before="0" w:after="840" w:line="300" w:lineRule="auto"/>
        <w:jc w:val="center"/>
      </w:pPr>
      <w:r>
        <w:rPr>
          <w:rFonts w:ascii="Calibri" w:hAnsi="Calibri" w:eastAsia="Microsoft YaHei"/>
          <w:b w:val="0"/>
          <w:i w:val="0"/>
          <w:color w:val="5D6975"/>
          <w:sz w:val="25"/>
        </w:rPr>
        <w:t>本地控制、远程管理、参数配置、校准与软件升级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文件属性</w:t>
            </w:r>
          </w:p>
        </w:tc>
        <w:tc>
          <w:tcPr>
            <w:tcW w:type="dxa" w:w="72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产品系列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空气微站系列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文件版本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V2.0.0 工业用语优化版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适用对象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运行人员、现场服务人员、维修人员及技术支持人员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编制依据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《空气微站系列使用说明书2.0.0》及当前项目实现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编制日期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2026-07-02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文件状态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受控技术文件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0"/>
              </w:rPr>
              <w:t>文件控制：</w:t>
            </w: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设备型号、供电方式和传感器配置可能存在差异。执行操作前，应核对产品铭牌、电气原理图、接线图和对应版本的软件配置。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 产品概述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空气微站系列设备用于连续采集环境空气质量参数，并通过内置通信模块按照 HJ212 协议向指定中心端传输数据。根据设备配置，可监测颗粒物、气态污染物及气象参数，并提供本地显示、历史记录、校准、远程配置、OTA 升级和远程重启功能。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参数类别</w:t>
            </w:r>
          </w:p>
        </w:tc>
        <w:tc>
          <w:tcPr>
            <w:tcW w:type="dxa" w:w="71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典型监测因子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9"/>
              </w:rPr>
              <w:t>颗粒物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9"/>
              </w:rPr>
              <w:t>PM1、PM2.5、PM10、PM100/TSP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9"/>
              </w:rPr>
              <w:t>气态污染物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9"/>
              </w:rPr>
              <w:t>SO2、NO2、CO、O3、C4H8/TVOC（以实际配置为准）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9"/>
              </w:rPr>
              <w:t>气象与环境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9"/>
              </w:rPr>
              <w:t>温度、湿度、气压、风速、风向、噪声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0"/>
              </w:rPr>
              <w:t>配置说明：</w:t>
            </w: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设备支持的因子、单位、量程和接口由具体型号及传感器配置决定。界面显示或远程平台出现未配置因子时，不应据此判定设备故障。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2 操作安全与通用规则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仅授权用户可以修改配置、执行校准、升级软件或重启设备。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修改配置前应读取并保存原参数；配置写入后，应根据界面提示执行重启并验证生效。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执行传感器校准时，应使用符合要求的零气或标准气体，并记录校准前后数据。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OTA 升级期间，设备采集和通信功能可能暂停。应保证供电和网络稳定，禁止中途断电。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涉及电气接线、开盖和部件更换的操作不属于普通用户操作范围，应参照维修说明书执行。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3 本地触摸屏操作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3.1 主界面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设备上电并完成初始化后进入主界面。主界面提供用户登录、实时数据显示、历史记录、传感器校准、HJ212 输出配置和系统配置入口。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926080" cy="29139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_i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13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D6975"/>
          <w:sz w:val="18"/>
        </w:rPr>
        <w:t>图 1  本地主界面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3.2 用户登录与权限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角色</w:t>
            </w:r>
          </w:p>
        </w:tc>
        <w:tc>
          <w:tcPr>
            <w:tcW w:type="dxa" w:w="75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允许操作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访客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查看实时数据和基本运行状态，不允许修改配置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操作员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查看数据及部分采集参数；具体权限以系统授权为准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管理员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修改 HJ212、系统、因子、温控和 IO 配置，执行校准及其他受控操作</w:t>
            </w:r>
          </w:p>
        </w:tc>
      </w:tr>
    </w:tbl>
    <w:p>
      <w:pPr>
        <w:spacing w:after="20"/>
      </w:pPr>
    </w:p>
    <w:p>
      <w:pPr>
        <w:pStyle w:val="ListNumber"/>
        <w:numPr>
          <w:ilvl w:val="0"/>
          <w:numId w:val="10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选择主界面右上角的用户状态区域。</w:t>
      </w:r>
    </w:p>
    <w:p>
      <w:pPr>
        <w:pStyle w:val="ListNumber"/>
        <w:numPr>
          <w:ilvl w:val="0"/>
          <w:numId w:val="10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选择用户角色并输入有效凭据。</w:t>
      </w:r>
    </w:p>
    <w:p>
      <w:pPr>
        <w:pStyle w:val="ListNumber"/>
        <w:numPr>
          <w:ilvl w:val="0"/>
          <w:numId w:val="10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登录后确认界面显示的角色与预期一致，再执行受控操作。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0"/>
              </w:rPr>
              <w:t>信息安全：</w:t>
            </w: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默认账户或初始口令应在交付后按管理制度更改。不得在非受控文档中记录管理员口令。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3.3 实时数据显示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主显示区域采用分页方式显示监测因子。页面按设定周期自动轮换，底部显示温湿度、软件版本和通信状态。网络信号采用颜色或等级标识。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_i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D6975"/>
          <w:sz w:val="18"/>
        </w:rPr>
        <w:t>图 2  颗粒物数据显示页面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27776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_i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77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D6975"/>
          <w:sz w:val="18"/>
        </w:rPr>
        <w:t>图 3  气象参数数据显示页面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800"/>
        <w:gridCol w:w="4160"/>
      </w:tblGrid>
      <w:tr>
        <w:trPr>
          <w:tblHeader w:val="true"/>
          <w:cantSplit/>
        </w:trPr>
        <w:tc>
          <w:tcPr>
            <w:tcW w:type="dxa" w:w="14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页面</w:t>
            </w:r>
          </w:p>
        </w:tc>
        <w:tc>
          <w:tcPr>
            <w:tcW w:type="dxa" w:w="3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典型因子</w:t>
            </w:r>
          </w:p>
        </w:tc>
        <w:tc>
          <w:tcPr>
            <w:tcW w:type="dxa" w:w="41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第 1 页</w:t>
            </w:r>
          </w:p>
        </w:tc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TSP、PM1、PM2.5、PM10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颗粒物实时数据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第 2 页</w:t>
            </w:r>
          </w:p>
        </w:tc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风速、风向、噪声、气压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气象及环境参数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第 3 页</w:t>
            </w:r>
          </w:p>
        </w:tc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SO2、CO、NO2、O3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气态污染物数据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0"/>
              </w:rPr>
              <w:t>刷新说明：</w:t>
            </w: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页面轮换周期与数据采集周期不是同一概念。远程“获取数据”返回最近一次有效采集快照；当前项目默认约每分钟更新一次。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3.4 历史数据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历史记录功能用于查询分钟、小时、日数据及操作日志。查询前应选择记录类型和时间范围，查询结果可进入明细页面查看。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34640" cy="283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_i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D6975"/>
          <w:sz w:val="18"/>
        </w:rPr>
        <w:t>图 4  历史记录页面</w:t>
      </w:r>
    </w:p>
    <w:p>
      <w:pPr>
        <w:pStyle w:val="ListNumber"/>
        <w:numPr>
          <w:ilvl w:val="0"/>
          <w:numId w:val="11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选择“数据记录”。</w:t>
      </w:r>
    </w:p>
    <w:p>
      <w:pPr>
        <w:pStyle w:val="ListNumber"/>
        <w:numPr>
          <w:ilvl w:val="0"/>
          <w:numId w:val="11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选择分钟、小时、日数据或操作日志。</w:t>
      </w:r>
    </w:p>
    <w:p>
      <w:pPr>
        <w:pStyle w:val="ListNumber"/>
        <w:numPr>
          <w:ilvl w:val="0"/>
          <w:numId w:val="11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设置查询条件并执行查询；核对时间戳、因子和单位。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0"/>
              </w:rPr>
              <w:t>数据保留：</w:t>
            </w: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历史保留时长取决于存储容量和软件策略。应定期检查剩余空间并按项目要求备份数据。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3.5 传感器校准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校准功能用于对指定传感器执行零点或参数修正。校准前应确认气体类型、浓度、流量、稳定时间和当前设备状态。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_i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D6975"/>
          <w:sz w:val="18"/>
        </w:rPr>
        <w:t>图 5  传感器校准入口</w:t>
      </w:r>
    </w:p>
    <w:p>
      <w:pPr>
        <w:pStyle w:val="ListNumber"/>
        <w:numPr>
          <w:ilvl w:val="0"/>
          <w:numId w:val="12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登录具备校准权限的账户并选择“仪器校准”。</w:t>
      </w:r>
    </w:p>
    <w:p>
      <w:pPr>
        <w:pStyle w:val="ListNumber"/>
        <w:numPr>
          <w:ilvl w:val="0"/>
          <w:numId w:val="12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选择目标因子，接入规定的零气或标准气体。</w:t>
      </w:r>
    </w:p>
    <w:p>
      <w:pPr>
        <w:pStyle w:val="ListNumber"/>
        <w:numPr>
          <w:ilvl w:val="0"/>
          <w:numId w:val="12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待读数满足稳定条件后执行校准，记录校准结果。</w:t>
      </w:r>
    </w:p>
    <w:p>
      <w:pPr>
        <w:pStyle w:val="ListNumber"/>
        <w:numPr>
          <w:ilvl w:val="0"/>
          <w:numId w:val="12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恢复正常采样并复核显示值、历史数据和平台数据。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0"/>
              </w:rPr>
              <w:t>禁止事项：</w:t>
            </w: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不得在气体未稳定、气路泄漏、单位不一致或传感器故障状态下强制校准。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3.6 HJ212 输出配置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HJ212 配置包括 MN、PW、ST、Flag、协议版本、目标 IP 地址和端口等。修改前应取得中心端确认，并保留原配置。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926080" cy="29139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_i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13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D6975"/>
          <w:sz w:val="18"/>
        </w:rPr>
        <w:t>图 6  HJ212 配置页面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参数</w:t>
            </w:r>
          </w:p>
        </w:tc>
        <w:tc>
          <w:tcPr>
            <w:tcW w:type="dxa" w:w="7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定义/要求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MN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设备唯一标识，应与中心端登记信息一致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PW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通信访问密码，应按项目要求配置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ST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系统类型编码，应与平台协议约定一致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Flag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报文标志位，应按 HJ212 及平台约定设置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协议版本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选择项目要求的 HJ212 版本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IP/端口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中心端服务地址及通信端口</w:t>
            </w:r>
          </w:p>
        </w:tc>
      </w:tr>
    </w:tbl>
    <w:p>
      <w:pPr>
        <w:spacing w:after="20"/>
      </w:pPr>
    </w:p>
    <w:p>
      <w:pPr>
        <w:pStyle w:val="ListNumber"/>
        <w:numPr>
          <w:ilvl w:val="0"/>
          <w:numId w:val="13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读取当前配置并记录。</w:t>
      </w:r>
    </w:p>
    <w:p>
      <w:pPr>
        <w:pStyle w:val="ListNumber"/>
        <w:numPr>
          <w:ilvl w:val="0"/>
          <w:numId w:val="13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修改目标字段并保存。</w:t>
      </w:r>
    </w:p>
    <w:p>
      <w:pPr>
        <w:pStyle w:val="ListNumber"/>
        <w:numPr>
          <w:ilvl w:val="0"/>
          <w:numId w:val="13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按提示重启设备。</w:t>
      </w:r>
    </w:p>
    <w:p>
      <w:pPr>
        <w:pStyle w:val="ListNumber"/>
        <w:numPr>
          <w:ilvl w:val="0"/>
          <w:numId w:val="13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核对实时报文和 CN=9014 应答，确认配置生效。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3.7 系统配置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400"/>
        <w:gridCol w:w="226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配置组</w:t>
            </w:r>
          </w:p>
        </w:tc>
        <w:tc>
          <w:tcPr>
            <w:tcW w:type="dxa" w:w="54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功能</w:t>
            </w:r>
          </w:p>
        </w:tc>
        <w:tc>
          <w:tcPr>
            <w:tcW w:type="dxa" w:w="22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生效条件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采样设置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采集周期、上传周期、远程平台地址及相关参数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按界面提示重启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功能开关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启用或停用采集、上传、显示、存储等功能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重启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系统信息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查看设备和软件信息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只读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温控设置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配置加热管启停及温度上下限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重启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IO 设置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依据指定因子和阈值控制 IO 输出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重启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因子设置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设置因子名称、单位、报警值等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重启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因子选择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启用已安装且已配置的传感器因子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重启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0"/>
              </w:rPr>
              <w:t>参数一致性：</w:t>
            </w: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因子编码、单位、量程、串口和缩放参数应与实际传感器一致。未安装传感器时不得仅通过界面启用对应因子。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4 远程管理平台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4.1 登录与设备监控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使用组织分配的地址和账户登录远程管理平台。登录后进入“微站管理 - 设备在线监控”，查看设备编号、点位、项目、在线状态和最近连接时间。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31920" cy="19495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949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D6975"/>
          <w:sz w:val="18"/>
        </w:rPr>
        <w:t>图 7  远程平台登录界面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31920" cy="19495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i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949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D6975"/>
          <w:sz w:val="18"/>
        </w:rPr>
        <w:t>图 8  设备在线监控页面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0"/>
              </w:rPr>
              <w:t>访问控制：</w:t>
            </w: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远程平台地址、账户和口令属于受控信息，应由项目管理员分配。源说明书中的示例地址不应作为长期固定配置依据。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4.2 设备详细信息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信息类别</w:t>
            </w:r>
          </w:p>
        </w:tc>
        <w:tc>
          <w:tcPr>
            <w:tcW w:type="dxa" w:w="7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典型字段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身份信息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设备编码、设备名称、设备类型、MN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点位信息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点位名称、经度、纬度、所属项目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资产信息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购买日期、使用日期、质保期限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运行信息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在线状态、最近连接/断开时间、软件版本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管理信息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说明、创建人、创建时间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远程功能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获取数据、配置读取/写入、校准、OTA 和重启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4.3 获取实时数据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选择“获取数据”后，平台读取设备最近一次采集快照。返回数据应包含采集时间、通信状态和已配置因子的测量值。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023360" cy="19948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i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99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D6975"/>
          <w:sz w:val="18"/>
        </w:rPr>
        <w:t>图 9  远程获取实时数据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确认返回时间戳为最近一次采集时间，而不是最近 10 分钟统计窗口时间。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无效或未安装因子应显示明确状态，不应以 0 值替代所有异常。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平台值应与本地显示和设备原始记录保持相同单位与时间语义。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4.4 远程配置通用程序</w:t>
      </w:r>
    </w:p>
    <w:p>
      <w:pPr>
        <w:pStyle w:val="ListNumber"/>
        <w:numPr>
          <w:ilvl w:val="0"/>
          <w:numId w:val="14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选择目标设备并确认设备编号、MN、在线状态和软件版本。</w:t>
      </w:r>
    </w:p>
    <w:p>
      <w:pPr>
        <w:pStyle w:val="ListNumber"/>
        <w:numPr>
          <w:ilvl w:val="0"/>
          <w:numId w:val="14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执行“获取配置”，保存或截图记录当前参数。</w:t>
      </w:r>
    </w:p>
    <w:p>
      <w:pPr>
        <w:pStyle w:val="ListNumber"/>
        <w:numPr>
          <w:ilvl w:val="0"/>
          <w:numId w:val="14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仅修改本次作业批准的字段，检查数值范围、单位和关联参数。</w:t>
      </w:r>
    </w:p>
    <w:p>
      <w:pPr>
        <w:pStyle w:val="ListNumber"/>
        <w:numPr>
          <w:ilvl w:val="0"/>
          <w:numId w:val="14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执行“更改配置”，等待设备返回明确成功或失败结果。</w:t>
      </w:r>
    </w:p>
    <w:p>
      <w:pPr>
        <w:pStyle w:val="ListNumber"/>
        <w:numPr>
          <w:ilvl w:val="0"/>
          <w:numId w:val="14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如配置需要重启，执行受控重启；设备上线后再次读取配置并验证功能。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4.5 HJ212、系统、功能开关和温控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14800" cy="20401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i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40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D6975"/>
          <w:sz w:val="18"/>
        </w:rPr>
        <w:t>图 10  远程 HJ212 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000"/>
        <w:gridCol w:w="2760"/>
      </w:tblGrid>
      <w:tr>
        <w:trPr>
          <w:tblHeader w:val="true"/>
          <w:cantSplit/>
        </w:trPr>
        <w:tc>
          <w:tcPr>
            <w:tcW w:type="dxa" w:w="1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配置</w:t>
            </w:r>
          </w:p>
        </w:tc>
        <w:tc>
          <w:tcPr>
            <w:tcW w:type="dxa" w:w="50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操作重点</w:t>
            </w:r>
          </w:p>
        </w:tc>
        <w:tc>
          <w:tcPr>
            <w:tcW w:type="dxa" w:w="27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验证方式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HJ212</w:t>
            </w:r>
          </w:p>
        </w:tc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MN、PW、ST、Flag、协议版本、IP/端口、重试和超时</w:t>
            </w:r>
          </w:p>
        </w:tc>
        <w:tc>
          <w:tcPr>
            <w:tcW w:type="dxa" w:w="2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核对报文和中心端应答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系统</w:t>
            </w:r>
          </w:p>
        </w:tc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采集周期、上传周期和远程地址</w:t>
            </w:r>
          </w:p>
        </w:tc>
        <w:tc>
          <w:tcPr>
            <w:tcW w:type="dxa" w:w="2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观察连续两个采集/上传周期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功能开关</w:t>
            </w:r>
          </w:p>
        </w:tc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功能启停状态及依赖关系</w:t>
            </w:r>
          </w:p>
        </w:tc>
        <w:tc>
          <w:tcPr>
            <w:tcW w:type="dxa" w:w="2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重启后读取状态并执行功能测试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温控</w:t>
            </w:r>
          </w:p>
        </w:tc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启停、上下限和加热控制</w:t>
            </w:r>
          </w:p>
        </w:tc>
        <w:tc>
          <w:tcPr>
            <w:tcW w:type="dxa" w:w="2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观察温度及输出动作，防止异常加热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4.6 因子、设备和 IO 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500"/>
        <w:gridCol w:w="3260"/>
      </w:tblGrid>
      <w:tr>
        <w:trPr>
          <w:tblHeader w:val="true"/>
          <w:cantSplit/>
        </w:trPr>
        <w:tc>
          <w:tcPr>
            <w:tcW w:type="dxa" w:w="1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配置</w:t>
            </w:r>
          </w:p>
        </w:tc>
        <w:tc>
          <w:tcPr>
            <w:tcW w:type="dxa" w:w="4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操作重点</w:t>
            </w:r>
          </w:p>
        </w:tc>
        <w:tc>
          <w:tcPr>
            <w:tcW w:type="dxa" w:w="32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风险控制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采集因子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因子编码、名称、单位、报警值和数量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必须与传感器和协议映射一致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设备信息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型号、版本、点位、经纬度及资产信息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修改前确认资产归属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IO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关联因子、动作区间、输出逻辑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防止误动作；现场核对负载和联锁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4.7 远程传感器校准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远程校准支持偏移量和比例系数修正。示例：标准值 50，设备示值 40，可设置偏移量 +10，或在确认线性关系后设置比例 125%。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0"/>
              </w:rPr>
              <w:t>校准控制：</w:t>
            </w: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偏移量和比例系数不得同时无依据叠加。修改后至少复核零点及一个非校准点，并保存校准记录。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4.8 OTA 升级</w:t>
      </w:r>
    </w:p>
    <w:p>
      <w:pPr>
        <w:pStyle w:val="ListNumber"/>
        <w:numPr>
          <w:ilvl w:val="0"/>
          <w:numId w:val="15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确认升级包适用于目标设备型号、硬件版本和分区方案。</w:t>
      </w:r>
    </w:p>
    <w:p>
      <w:pPr>
        <w:pStyle w:val="ListNumber"/>
        <w:numPr>
          <w:ilvl w:val="0"/>
          <w:numId w:val="15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确认设备在线、供电稳定，并停止同时进行的校准或配置写入。</w:t>
      </w:r>
    </w:p>
    <w:p>
      <w:pPr>
        <w:pStyle w:val="ListNumber"/>
        <w:numPr>
          <w:ilvl w:val="0"/>
          <w:numId w:val="15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选择升级包并启动 OTA；等待设备进入接收状态后发送升级数据。</w:t>
      </w:r>
    </w:p>
    <w:p>
      <w:pPr>
        <w:pStyle w:val="ListNumber"/>
        <w:numPr>
          <w:ilvl w:val="0"/>
          <w:numId w:val="15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收到成功结果后等待设备重启，核对软件版本和主要功能。</w:t>
      </w:r>
    </w:p>
    <w:p>
      <w:pPr>
        <w:pStyle w:val="ListNumber"/>
        <w:numPr>
          <w:ilvl w:val="0"/>
          <w:numId w:val="15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升级失败时停止重复操作，记录错误并按维修说明书执行恢复。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023360" cy="19948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1_i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99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D6975"/>
          <w:sz w:val="18"/>
        </w:rPr>
        <w:t>图 11  OTA 升级操作页面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4.9 远程重启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远程重启用于使配置生效或恢复设备运行。执行前应确认设备未处于 OTA、校准、文件写入或其他关键操作状态。重启后应检查在线状态、时间、采集、存储和通信。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0"/>
              </w:rPr>
              <w:t>注意：</w:t>
            </w: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重启不是故障修复措施。设备反复离线、异常复位或数据持续错误时，应转入故障诊断流程。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5 运行确认与常见异常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200"/>
        <w:gridCol w:w="32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现象</w:t>
            </w:r>
          </w:p>
        </w:tc>
        <w:tc>
          <w:tcPr>
            <w:tcW w:type="dxa" w:w="4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确认项目</w:t>
            </w:r>
          </w:p>
        </w:tc>
        <w:tc>
          <w:tcPr>
            <w:tcW w:type="dxa" w:w="32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处理建议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设备离线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供电、DTU、SIM、天线、CSQ、平台地址和端口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恢复链路后确认实时数据和历史补传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实时数据不更新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最近采集时间、采集任务、目标传感器和实时缓存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确认返回最近一次采集快照，不读取分钟统计缓存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配置修改未生效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写入结果、权限、参数范围及是否需要重启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读取配置比对；按提示受控重启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单因子为 0 或无效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传感器是否安装、通信超时、单位和无效标志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检查硬件和配置，不以强制校准代替维修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HJ212 无应答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CSQ、服务端、IP/端口、MN/PW/ST、报文长度和 CRC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先验证实时包，再处理历史补传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OTA 中断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供电、网络、升级包和设备恢复状态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禁止反复断电；转入本地恢复流程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6 操作记录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250"/>
        <w:gridCol w:w="1500"/>
        <w:gridCol w:w="1500"/>
        <w:gridCol w:w="1500"/>
        <w:gridCol w:w="1050"/>
        <w:gridCol w:w="1360"/>
      </w:tblGrid>
      <w:tr>
        <w:trPr>
          <w:tblHeader w:val="true"/>
          <w:cantSplit/>
        </w:trPr>
        <w:tc>
          <w:tcPr>
            <w:tcW w:type="dxa" w:w="1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日期时间</w:t>
            </w:r>
          </w:p>
        </w:tc>
        <w:tc>
          <w:tcPr>
            <w:tcW w:type="dxa" w:w="12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设备/点位</w:t>
            </w:r>
          </w:p>
        </w:tc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操作项目</w:t>
            </w:r>
          </w:p>
        </w:tc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变更前</w:t>
            </w:r>
          </w:p>
        </w:tc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变更后</w:t>
            </w:r>
          </w:p>
        </w:tc>
        <w:tc>
          <w:tcPr>
            <w:tcW w:type="dxa" w:w="10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操作人</w:t>
            </w:r>
          </w:p>
        </w:tc>
        <w:tc>
          <w:tcPr>
            <w:tcW w:type="dxa" w:w="13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□成功 □失败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□成功 □失败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□成功 □失败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□成功 □失败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□成功 □失败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□成功 □失败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□成功 □失败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________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□成功 □失败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附录 A 术语规范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推荐术语</w:t>
            </w:r>
          </w:p>
        </w:tc>
        <w:tc>
          <w:tcPr>
            <w:tcW w:type="dxa" w:w="6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设备/监测仪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避免在同一语境中交替使用“机器”“仪器”“终端”等非必要称谓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采集周期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设备完成一轮传感器采集的时间间隔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上传周期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设备向中心端发送数据的时间间隔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最近一次采集快照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远程实时查询返回的数据对象，不等同于分钟统计数据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配置读取/配置写入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替代含义不清的“获取/更改”组合表述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零点校准/量程校准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替代“归零”“标定”等混用表述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生效条件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明确立即生效、保存后生效或重启后生效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中心端/远程管理平台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按通信对象区分协议接收端和设备管理系统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D6975"/>
        <w:sz w:val="18"/>
      </w:rPr>
      <w:t xml:space="preserve">第 </w:t>
    </w:r>
    <w:fldSimple w:instr="PAGE"/>
    <w:r>
      <w:rPr>
        <w:rFonts w:ascii="Calibri" w:hAnsi="Calibri" w:eastAsia="Microsoft YaHei"/>
        <w:b w:val="0"/>
        <w:i w:val="0"/>
        <w:color w:val="5D69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i w:val="0"/>
        <w:color w:val="5D6975"/>
        <w:sz w:val="17"/>
      </w:rPr>
      <w:t>空气微站系列操作说明书 | 工业用语优化版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028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空气微站系列操作说明书2.0.0（工业用语优化版）</dc:title>
  <dc:subject>空气微站本地及远程操作</dc:subject>
  <dc:creator>湖北晋楚科技发展有限公司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