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240" w:after="400" w:line="300" w:lineRule="auto"/>
        <w:jc w:val="center"/>
      </w:pPr>
      <w:r>
        <w:rPr>
          <w:rFonts w:ascii="Calibri" w:hAnsi="Calibri" w:eastAsia="Microsoft YaHei"/>
          <w:b/>
          <w:i w:val="0"/>
          <w:color w:val="7A5A00"/>
          <w:sz w:val="22"/>
        </w:rPr>
        <w:t>技术服务文件</w:t>
      </w:r>
    </w:p>
    <w:p>
      <w:pPr>
        <w:keepNext w:val="0"/>
        <w:spacing w:before="0" w:after="240" w:line="276" w:lineRule="auto"/>
        <w:jc w:val="center"/>
      </w:pPr>
      <w:r>
        <w:rPr>
          <w:rFonts w:ascii="Calibri" w:hAnsi="Calibri" w:eastAsia="Microsoft YaHei"/>
          <w:b/>
          <w:i w:val="0"/>
          <w:color w:val="1F4D78"/>
          <w:sz w:val="56"/>
        </w:rPr>
        <w:t>空气微站系列维修说明书</w:t>
      </w:r>
    </w:p>
    <w:p>
      <w:pPr>
        <w:keepNext w:val="0"/>
        <w:spacing w:before="0" w:after="840" w:line="300" w:lineRule="auto"/>
        <w:jc w:val="center"/>
      </w:pPr>
      <w:r>
        <w:rPr>
          <w:rFonts w:ascii="Calibri" w:hAnsi="Calibri" w:eastAsia="Microsoft YaHei"/>
          <w:b w:val="0"/>
          <w:i w:val="0"/>
          <w:color w:val="5D6975"/>
          <w:sz w:val="25"/>
        </w:rPr>
        <w:t>预防性维护、故障诊断、部件更换与维修后验收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文件属性</w:t>
            </w:r>
          </w:p>
        </w:tc>
        <w:tc>
          <w:tcPr>
            <w:tcW w:type="dxa" w:w="72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20"/>
              </w:rPr>
              <w:t>产品系列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20"/>
              </w:rPr>
              <w:t>空气微站系列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20"/>
              </w:rPr>
              <w:t>文件版本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20"/>
              </w:rPr>
              <w:t>V1.0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20"/>
              </w:rPr>
              <w:t>适用对象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20"/>
              </w:rPr>
              <w:t>运行人员、现场服务人员、维修人员及技术支持人员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20"/>
              </w:rPr>
              <w:t>编制依据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20"/>
              </w:rPr>
              <w:t>《空气微站系列使用说明书2.0.0》及当前项目实现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20"/>
              </w:rPr>
              <w:t>编制日期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20"/>
              </w:rPr>
              <w:t>2026-07-02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20"/>
              </w:rPr>
              <w:t>文件状态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20"/>
              </w:rPr>
              <w:t>受控技术文件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8E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0"/>
              </w:rPr>
              <w:t>文件控制：</w:t>
            </w:r>
            <w:r>
              <w:rPr>
                <w:rFonts w:ascii="Calibri" w:hAnsi="Calibri" w:eastAsia="Microsoft YaHei"/>
                <w:b w:val="0"/>
                <w:i w:val="0"/>
                <w:color w:val="202830"/>
                <w:sz w:val="20"/>
              </w:rPr>
              <w:t>设备型号、供电方式和传感器配置可能存在差异。执行操作前，应核对产品铭牌、电气原理图、接线图和对应版本的软件配置。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1 范围与职责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本说明书规定空气微站系列设备的日常检查、周期维护、故障诊断、传感器校准、部件更换、软件维护和维修后验收要求。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600"/>
        <w:gridCol w:w="5460"/>
      </w:tblGrid>
      <w:tr>
        <w:trPr>
          <w:tblHeader w:val="true"/>
          <w:cantSplit/>
        </w:trPr>
        <w:tc>
          <w:tcPr>
            <w:tcW w:type="dxa" w:w="13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维护级别</w:t>
            </w:r>
          </w:p>
        </w:tc>
        <w:tc>
          <w:tcPr>
            <w:tcW w:type="dxa" w:w="26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执行人员</w:t>
            </w:r>
          </w:p>
        </w:tc>
        <w:tc>
          <w:tcPr>
            <w:tcW w:type="dxa" w:w="54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允许作业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一级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运行人员</w:t>
            </w:r>
          </w:p>
        </w:tc>
        <w:tc>
          <w:tcPr>
            <w:tcW w:type="dxa" w:w="5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外观检查、数据核对、清洁、状态记录和远程复位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二级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经培训的现场服务人员</w:t>
            </w:r>
          </w:p>
        </w:tc>
        <w:tc>
          <w:tcPr>
            <w:tcW w:type="dxa" w:w="5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模块检查、接线紧固、过滤件更换、校准和软件升级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三级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制造商或授权维修人员</w:t>
            </w:r>
          </w:p>
        </w:tc>
        <w:tc>
          <w:tcPr>
            <w:tcW w:type="dxa" w:w="5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控制板、电源、显示器、传感器及通信模块的板级更换与返修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DECEC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9B1C1C"/>
                <w:sz w:val="20"/>
              </w:rPr>
              <w:t>限制：</w:t>
            </w:r>
            <w:r>
              <w:rPr>
                <w:rFonts w:ascii="Calibri" w:hAnsi="Calibri" w:eastAsia="Microsoft YaHei"/>
                <w:b w:val="0"/>
                <w:i w:val="0"/>
                <w:color w:val="202830"/>
                <w:sz w:val="20"/>
              </w:rPr>
              <w:t>未经授权不得修改安全保护参数、拆改电源回路或绕过联锁。涉及板级焊接、耐压和防护等级恢复的作业，应由授权人员实施。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2 安全要求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实施开盖、接线或部件更换前，断开设备全部电源并确认储能元件已完成放电。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对控制板、通信模块和传感器执行静电防护，使用防静电腕带和绝缘工具。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使用零气或标准气体时，检查气瓶、减压器、管路和排放条件；禁止在密闭空间排放高浓度气体。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清洁采样管路时，不得使用可能腐蚀传感器、密封件或电路板的溶剂。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恢复外壳前，检查密封条、防水接头和紧固件，确保原防护结构未被破坏。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DECEC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9B1C1C"/>
                <w:sz w:val="20"/>
              </w:rPr>
              <w:t>危险：</w:t>
            </w:r>
            <w:r>
              <w:rPr>
                <w:rFonts w:ascii="Calibri" w:hAnsi="Calibri" w:eastAsia="Microsoft YaHei"/>
                <w:b w:val="0"/>
                <w:i w:val="0"/>
                <w:color w:val="202830"/>
                <w:sz w:val="20"/>
              </w:rPr>
              <w:t>绝缘电阻、耐压及交流输入回路检测存在触电风险。仅允许具备相应资质的人员使用合格试验设备执行。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3 设备组成与维修边界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4360"/>
      </w:tblGrid>
      <w:tr>
        <w:trPr>
          <w:tblHeader w:val="true"/>
          <w:cantSplit/>
        </w:trPr>
        <w:tc>
          <w:tcPr>
            <w:tcW w:type="dxa" w:w="1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功能单元</w:t>
            </w:r>
          </w:p>
        </w:tc>
        <w:tc>
          <w:tcPr>
            <w:tcW w:type="dxa" w:w="33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典型组成</w:t>
            </w:r>
          </w:p>
        </w:tc>
        <w:tc>
          <w:tcPr>
            <w:tcW w:type="dxa" w:w="43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维修关注点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采样与传感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颗粒物、气态污染物、温湿度、气压、风速、风向、噪声等传感器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进气口、过滤件、管路、供电、485/TTL 通信、零点与量程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控制与存储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主控制器、RTC、SD/内部文件系统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启动、时间、数据完整性、存储空间和文件损坏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通信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DTU、天线、SIM、串口及 HJ212 链路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CSQ、目标地址、端口、应答和断点续传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人机界面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触摸显示屏及状态指示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显示、触控、权限、页面刷新和配置同步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温控与执行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加热管、风机、泵、继电器/IO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动作、电流、温控上下限、联锁和异常发热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结构与电源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外壳、密封、电源模块、接地和保护器件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进水、腐蚀、松动、绝缘、散热和防护恢复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4 维修工具、备件与资料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类别</w:t>
            </w:r>
          </w:p>
        </w:tc>
        <w:tc>
          <w:tcPr>
            <w:tcW w:type="dxa" w:w="75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最低配置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工具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绝缘工具、万用表、回路测试线、防静电用品、标签和照明工具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维护用品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无尘布、软刷、洁净干燥气源、合规清洁剂、密封件和扎带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校准设备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零气、相应标准气体、减压与流量控制装置；必要时配备参比仪器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常用备件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过滤件、采样管、风机/泵、保险器件、SD 卡、天线、通信模块及适配传感器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技术资料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产品铭牌、电气原理图、接线图、传感器协议、当前配置备份和固件升级包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5 预防性维护周期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5100"/>
        <w:gridCol w:w="2960"/>
      </w:tblGrid>
      <w:tr>
        <w:trPr>
          <w:tblHeader w:val="true"/>
          <w:cantSplit/>
        </w:trPr>
        <w:tc>
          <w:tcPr>
            <w:tcW w:type="dxa" w:w="13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周期</w:t>
            </w:r>
          </w:p>
        </w:tc>
        <w:tc>
          <w:tcPr>
            <w:tcW w:type="dxa" w:w="51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维护内容</w:t>
            </w:r>
          </w:p>
        </w:tc>
        <w:tc>
          <w:tcPr>
            <w:tcW w:type="dxa" w:w="29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验收要求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每周</w:t>
            </w:r>
          </w:p>
        </w:tc>
        <w:tc>
          <w:tcPr>
            <w:tcW w:type="dxa" w:w="5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外观、运行状态、平台在线状态、CSQ、时间和关键因子合理性</w:t>
            </w:r>
          </w:p>
        </w:tc>
        <w:tc>
          <w:tcPr>
            <w:tcW w:type="dxa" w:w="2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无明显异常；数据连续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每月</w:t>
            </w:r>
          </w:p>
        </w:tc>
        <w:tc>
          <w:tcPr>
            <w:tcW w:type="dxa" w:w="5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进气口、过滤件、风机/泵、外壳密封、线缆和接地</w:t>
            </w:r>
          </w:p>
        </w:tc>
        <w:tc>
          <w:tcPr>
            <w:tcW w:type="dxa" w:w="2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清洁、无堵塞、无松动和进水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每季度</w:t>
            </w:r>
          </w:p>
        </w:tc>
        <w:tc>
          <w:tcPr>
            <w:tcW w:type="dxa" w:w="5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零点检查、通信配置备份、存储空间、断点续传和告警</w:t>
            </w:r>
          </w:p>
        </w:tc>
        <w:tc>
          <w:tcPr>
            <w:tcW w:type="dxa" w:w="2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零点稳定；配置可恢复；补传正常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每半年</w:t>
            </w:r>
          </w:p>
        </w:tc>
        <w:tc>
          <w:tcPr>
            <w:tcW w:type="dxa" w:w="5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气路密封、温控、供电、端子紧固及传感器状态</w:t>
            </w:r>
          </w:p>
        </w:tc>
        <w:tc>
          <w:tcPr>
            <w:tcW w:type="dxa" w:w="2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无泄漏、异常温升或接触不良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每年</w:t>
            </w:r>
          </w:p>
        </w:tc>
        <w:tc>
          <w:tcPr>
            <w:tcW w:type="dxa" w:w="5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量程校准、参比比对、绝缘和防护结构检查</w:t>
            </w:r>
          </w:p>
        </w:tc>
        <w:tc>
          <w:tcPr>
            <w:tcW w:type="dxa" w:w="2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满足产品技术要求及项目验收指标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事件触发</w:t>
            </w:r>
          </w:p>
        </w:tc>
        <w:tc>
          <w:tcPr>
            <w:tcW w:type="dxa" w:w="5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搬迁、进水、雷击、长时间断电、固件升级或传感器更换后</w:t>
            </w:r>
          </w:p>
        </w:tc>
        <w:tc>
          <w:tcPr>
            <w:tcW w:type="dxa" w:w="2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完成专项检查和维修后验收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8E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0"/>
              </w:rPr>
              <w:t>周期调整：</w:t>
            </w:r>
            <w:r>
              <w:rPr>
                <w:rFonts w:ascii="Calibri" w:hAnsi="Calibri" w:eastAsia="Microsoft YaHei"/>
                <w:b w:val="0"/>
                <w:i w:val="0"/>
                <w:color w:val="202830"/>
                <w:sz w:val="20"/>
              </w:rPr>
              <w:t>高粉尘、高湿、高腐蚀或温差显著的现场应缩短维护周期；最终周期以现场污染负荷、传感器厂商要求和历史故障数据为依据。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6 标准维护程序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6.1 作业准备与停机</w:t>
      </w:r>
    </w:p>
    <w:p>
      <w:pPr>
        <w:pStyle w:val="ListNumber"/>
        <w:numPr>
          <w:ilvl w:val="0"/>
          <w:numId w:val="10"/>
        </w:numPr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记录设备编号、软件版本、系统时间、在线状态、当前告警和主要测量值。</w:t>
      </w:r>
    </w:p>
    <w:p>
      <w:pPr>
        <w:pStyle w:val="ListNumber"/>
        <w:numPr>
          <w:ilvl w:val="0"/>
          <w:numId w:val="10"/>
        </w:numPr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导出或拍照保存 HJ212、系统、功能开关、温控、因子和 IO 配置。</w:t>
      </w:r>
    </w:p>
    <w:p>
      <w:pPr>
        <w:pStyle w:val="ListNumber"/>
        <w:numPr>
          <w:ilvl w:val="0"/>
          <w:numId w:val="10"/>
        </w:numPr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通知平台或运行负责人，按规定停止数据使用或标记维护状态。</w:t>
      </w:r>
    </w:p>
    <w:p>
      <w:pPr>
        <w:pStyle w:val="ListNumber"/>
        <w:numPr>
          <w:ilvl w:val="0"/>
          <w:numId w:val="10"/>
        </w:numPr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断开电源并执行验电；对气路作业还应关闭标准气体和采样动力。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6.2 外壳、进气口和气路</w:t>
      </w:r>
    </w:p>
    <w:p>
      <w:pPr>
        <w:pStyle w:val="ListNumber"/>
        <w:numPr>
          <w:ilvl w:val="0"/>
          <w:numId w:val="11"/>
        </w:numPr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检查外壳、门锁、防水接头、密封条、排水结构和接地连接。</w:t>
      </w:r>
    </w:p>
    <w:p>
      <w:pPr>
        <w:pStyle w:val="ListNumber"/>
        <w:numPr>
          <w:ilvl w:val="0"/>
          <w:numId w:val="11"/>
        </w:numPr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清除进气口、滤网及防虫网积尘；发现变形、破损或不可恢复堵塞时予以更换。</w:t>
      </w:r>
    </w:p>
    <w:p>
      <w:pPr>
        <w:pStyle w:val="ListNumber"/>
        <w:numPr>
          <w:ilvl w:val="0"/>
          <w:numId w:val="11"/>
        </w:numPr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检查采样管路是否松脱、弯折、开裂、积水或污染；按原规格恢复连接。</w:t>
      </w:r>
    </w:p>
    <w:p>
      <w:pPr>
        <w:pStyle w:val="ListNumber"/>
        <w:numPr>
          <w:ilvl w:val="0"/>
          <w:numId w:val="11"/>
        </w:numPr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检查风机/泵运行声音、振动和气流。禁止用压缩空气直接冲击敏感元件。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6.3 颗粒物监测单元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确认 TTL/串口连接、供电和采样气路正常，检查 PM1、PM2.5、PM10 和 TSP 的相关性。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零点检查应在洁净空气条件下进行；读数无法稳定回零时，依次检查气路污染、风机、光学腔和传感器寿命。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更换颗粒物传感器后，应核对型号、通信参数、缩放系数和因子映射，并执行零点及参比比对。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6.4 气态污染物监测单元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检查 SO2、NO2、CO、O3、TVOC 模块的供电、485 地址、寄存器、单位及量程。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执行零点校准前应保证零气质量和流量稳定；执行量程校准时应使用有效期内的标准物质。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不得仅通过增大偏移量掩盖交叉干扰、气路泄漏、传感器失效或单位配置错误。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8E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0"/>
              </w:rPr>
              <w:t>单位确认：</w:t>
            </w:r>
            <w:r>
              <w:rPr>
                <w:rFonts w:ascii="Calibri" w:hAnsi="Calibri" w:eastAsia="Microsoft YaHei"/>
                <w:b w:val="0"/>
                <w:i w:val="0"/>
                <w:color w:val="202830"/>
                <w:sz w:val="20"/>
              </w:rPr>
              <w:t>SO2、NO2、O3 通常以 nmol/mol（ppb）表示；CO 和 TVOC 的平台、显示、采集及 HJ212 单位必须与项目要求一致。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6.5 气象、噪声与温湿度单元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检查百叶箱、风杯/风向标和噪声传感器是否受遮挡、结露、虫害或机械卡滞影响。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温度寄存器为有符号 16 位数据时，应按二进制补码解析；例如 0xFF9B 表示 -10.1 ℃。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气压异常跳变时，先检查原始寄存器和通信，再判断是否为真实阶跃；不得直接以显示值判定传感器损坏。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6.6 控制器、显示、通信与存储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检查触摸屏显示、触控、权限登录和页面轮换；确认配置读取与保存结果明确。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核对 RTC、DTU 时间和平台时间。禁止无效时间覆盖系统时间。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检查 SD 卡目录、剩余容量、读写错误和待传文件；断点续传应在应答成功后删除文件。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检查 DTU SIM、天线、CSQ、目标 IP/端口、HJ212 参数及 CN=9014 应答。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7 校准与参数修正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7.1 校准前条件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设备完成预热并处于稳定工作状态；环境条件满足传感器和标准物质要求。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标准气体、减压器和流量装置在有效期内，管路材质与目标气体相容。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记录校准前读数、标准值、温湿度、气压、流量、稳定时间和操作人员。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7.2 零点与量程</w:t>
      </w:r>
    </w:p>
    <w:p>
      <w:pPr>
        <w:pStyle w:val="ListNumber"/>
        <w:numPr>
          <w:ilvl w:val="0"/>
          <w:numId w:val="12"/>
        </w:numPr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通入零气并等待示值稳定，执行零点校准，记录校准前后读数。</w:t>
      </w:r>
    </w:p>
    <w:p>
      <w:pPr>
        <w:pStyle w:val="ListNumber"/>
        <w:numPr>
          <w:ilvl w:val="0"/>
          <w:numId w:val="12"/>
        </w:numPr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通入目标量程点标准气体，达到稳定判据后执行量程或比例修正。</w:t>
      </w:r>
    </w:p>
    <w:p>
      <w:pPr>
        <w:pStyle w:val="ListNumber"/>
        <w:numPr>
          <w:ilvl w:val="0"/>
          <w:numId w:val="12"/>
        </w:numPr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撤去标准气体并恢复正常采样，复核零点、响应和平台数据。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7.3 偏移量与比例系数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600"/>
        <w:gridCol w:w="2200"/>
        <w:gridCol w:w="3060"/>
      </w:tblGrid>
      <w:tr>
        <w:trPr>
          <w:tblHeader w:val="true"/>
          <w:cantSplit/>
        </w:trPr>
        <w:tc>
          <w:tcPr>
            <w:tcW w:type="dxa" w:w="1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修正方式</w:t>
            </w:r>
          </w:p>
        </w:tc>
        <w:tc>
          <w:tcPr>
            <w:tcW w:type="dxa" w:w="26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适用情形</w:t>
            </w:r>
          </w:p>
        </w:tc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示例</w:t>
            </w:r>
          </w:p>
        </w:tc>
        <w:tc>
          <w:tcPr>
            <w:tcW w:type="dxa" w:w="30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控制要求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偏移修正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误差在量程内近似恒定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标准值 50，实测 40，偏移量 +10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至少复核零点和另一量程点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比例修正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误差呈近似线性比例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标准值 50，实测 40，比例 125%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7"/>
              </w:rPr>
              <w:t>检查全量程，不得造成低端偏差放大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DECEC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9B1C1C"/>
                <w:sz w:val="20"/>
              </w:rPr>
              <w:t>质量要求：</w:t>
            </w:r>
            <w:r>
              <w:rPr>
                <w:rFonts w:ascii="Calibri" w:hAnsi="Calibri" w:eastAsia="Microsoft YaHei"/>
                <w:b w:val="0"/>
                <w:i w:val="0"/>
                <w:color w:val="202830"/>
                <w:sz w:val="20"/>
              </w:rPr>
              <w:t>远程修正仅用于受控校准，不得替代标准的零点、量程和参比比对。校准失败时，应恢复原参数并排查硬件、气路和单位配置。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8 故障诊断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2100"/>
        <w:gridCol w:w="3300"/>
        <w:gridCol w:w="2560"/>
      </w:tblGrid>
      <w:tr>
        <w:trPr>
          <w:tblHeader w:val="true"/>
          <w:cantSplit/>
        </w:trPr>
        <w:tc>
          <w:tcPr>
            <w:tcW w:type="dxa" w:w="14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故障</w:t>
            </w:r>
          </w:p>
        </w:tc>
        <w:tc>
          <w:tcPr>
            <w:tcW w:type="dxa" w:w="21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现象</w:t>
            </w:r>
          </w:p>
        </w:tc>
        <w:tc>
          <w:tcPr>
            <w:tcW w:type="dxa" w:w="33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检查顺序</w:t>
            </w:r>
          </w:p>
        </w:tc>
        <w:tc>
          <w:tcPr>
            <w:tcW w:type="dxa" w:w="25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处置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设备无电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显示、风机和通信均无响应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上级电源、保险/保护器件、电源模块、端子和接地</w:t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恢复正确供电；损坏部件按同规格更换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反复重启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启动后周期复位或看门狗触发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供电跌落、短路、存储损坏、任务死锁和异常堆耗尽</w:t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隔离外设；读取复位原因和回溯；禁止盲目反复上电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时间异常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年份非法、时间回退或平台时间错乱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RTC、DTU 授时、时区和有效性校验</w:t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校准 RTC；拒绝非法时间；复核重启后保持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单因子无数据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其余因子正常，目标因子超时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供电、地址、寄存器、串口、接线和传感器</w:t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修复连接或配置；更换后校准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全部 485 因子异常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多个模块同时超时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总线 A/B、终端、电源、短路、地址冲突和互斥占用</w:t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分段隔离总线，逐个恢复模块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SHT30 错误 -101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温湿度读取失败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I2C 接线、地址、供电、结露和器件状态</w:t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干燥并重连；确认地址；必要时更换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气压跳变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100.5/95.5 等突变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原始寄存器、通信干扰、供电和真实环境变化</w:t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核对多次原始值；清除干扰；真实阶跃连续确认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HJ212 无应答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No response / 无 CN=9014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CSQ、SIM、天线、IP/端口、服务端、MN/PW/ST/CRC</w:t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先验证实时包；恢复链路后执行历史补传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待传文件持续增加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pending 目录增长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服务器无应答、串口长期占用、重试策略和存储空间</w:t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实时优先；限制恢复批次；确认 ACK 后删除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历史补传崩溃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std::bad_alloc / abort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一次加载过多报文或重复复制容器</w:t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小批量扫描、发送前按需读取、监控可用堆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SD 读写失败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历史记录缺失或文件打不开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卡座、文件系统、容量、断电写入和卡片寿命</w:t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备份后更换/格式化；验证断电恢复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显示与平台不一致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值、单位或时间戳不同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缓存类型、缩放系数、单位、窗口时间和无效值处理</w:t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核对实时/分钟数据源；统一单位和时间语义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OTA 失败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升级中断或设备未恢复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文件型号、供电、链路、空间和镜像校验</w:t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6"/>
              </w:rPr>
              <w:t>保持供电；使用匹配镜像；执行回滚或本地烧录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9 部件更换通用程序</w:t>
      </w:r>
    </w:p>
    <w:p>
      <w:pPr>
        <w:pStyle w:val="ListNumber"/>
        <w:numPr>
          <w:ilvl w:val="0"/>
          <w:numId w:val="13"/>
        </w:numPr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核对替换件型号、版本、接口、电气参数和通信协议，与设备配置建立对应关系。</w:t>
      </w:r>
    </w:p>
    <w:p>
      <w:pPr>
        <w:pStyle w:val="ListNumber"/>
        <w:numPr>
          <w:ilvl w:val="0"/>
          <w:numId w:val="13"/>
        </w:numPr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执行停机、断电、验电和静电防护；对线缆、管路和安装方向进行标识并拍照。</w:t>
      </w:r>
    </w:p>
    <w:p>
      <w:pPr>
        <w:pStyle w:val="ListNumber"/>
        <w:numPr>
          <w:ilvl w:val="0"/>
          <w:numId w:val="13"/>
        </w:numPr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拆除故障件，检查连接器、密封、固定件和相邻部件是否存在连带损伤。</w:t>
      </w:r>
    </w:p>
    <w:p>
      <w:pPr>
        <w:pStyle w:val="ListNumber"/>
        <w:numPr>
          <w:ilvl w:val="0"/>
          <w:numId w:val="13"/>
        </w:numPr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安装替换件并按规定紧固，恢复线束、气路、密封和接地。</w:t>
      </w:r>
    </w:p>
    <w:p>
      <w:pPr>
        <w:pStyle w:val="ListNumber"/>
        <w:numPr>
          <w:ilvl w:val="0"/>
          <w:numId w:val="13"/>
        </w:numPr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上电后核对通信、原始值、单位、量程和报警；完成必要的校准和参数备份。</w:t>
      </w:r>
    </w:p>
    <w:p>
      <w:pPr>
        <w:pStyle w:val="ListNumber"/>
        <w:numPr>
          <w:ilvl w:val="0"/>
          <w:numId w:val="13"/>
        </w:numPr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执行维修后验收并更新设备履历、备件批次和软件版本。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10 OTA 与软件恢复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升级前确认设备型号、硬件版本、分区方案、固件校验值和回滚条件。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升级期间保持稳定供电和通信，禁止同时执行校准、配置写入或断电操作。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升级后核对启动、时间、采集、显示、存储、HJ212、断点续传和远程管理。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b w:val="0"/>
          <w:i w:val="0"/>
          <w:color w:val="202830"/>
          <w:sz w:val="21"/>
        </w:rPr>
        <w:t>升级失败且设备无法远程恢复时，使用批准的本地烧录工具和已验证镜像恢复。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11 维修后验收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6660"/>
        <w:gridCol w:w="900"/>
      </w:tblGrid>
      <w:tr>
        <w:trPr>
          <w:tblHeader w:val="true"/>
          <w:cantSplit/>
        </w:trPr>
        <w:tc>
          <w:tcPr>
            <w:tcW w:type="dxa" w:w="1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项目</w:t>
            </w:r>
          </w:p>
        </w:tc>
        <w:tc>
          <w:tcPr>
            <w:tcW w:type="dxa" w:w="66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验收要求</w:t>
            </w:r>
          </w:p>
        </w:tc>
        <w:tc>
          <w:tcPr>
            <w:tcW w:type="dxa" w:w="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外观与安全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外壳、密封、接地、线缆和紧固件恢复，无遗留工具或异物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启动与时间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上电自启动；时间合法且连续；无异常复位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采集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配置因子均可采集；无效因子状态明确；单位和符号正确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显示与平台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屏显、串口实时数据和平台值在同一时间语义下保持一致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存储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实时、分钟、小时和日数据可写入、查询和下载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通信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HJ212 实时数据收到应答；网络恢复后历史数据可补传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报警与 IO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告警、温控、IO 和联锁按配置动作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校准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校准后零点、量程和参比检查满足项目要求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配置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配置已备份；需重启项已完成重启并确认生效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□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12 维修记录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记录项</w:t>
            </w:r>
          </w:p>
        </w:tc>
        <w:tc>
          <w:tcPr>
            <w:tcW w:type="dxa" w:w="67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填写内容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9"/>
              </w:rPr>
              <w:t>设备编号/点位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9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9"/>
              </w:rPr>
              <w:t>报修时间/故障现象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9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9"/>
              </w:rPr>
              <w:t>故障代码/关键日志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9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9"/>
              </w:rPr>
              <w:t>诊断过程与根因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9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9"/>
              </w:rPr>
              <w:t>更换件名称/型号/批次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9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9"/>
              </w:rPr>
              <w:t>配置或固件变更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9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9"/>
              </w:rPr>
              <w:t>校准前后数据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9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9"/>
              </w:rPr>
              <w:t>验收结果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9"/>
              </w:rPr>
              <w:t>□合格  □不合格  □限制运行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9"/>
              </w:rPr>
              <w:t>维修/复核/日期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附录 A 配置备份清单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/>
        </w:trPr>
        <w:tc>
          <w:tcPr>
            <w:tcW w:type="dxa" w:w="20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配置组</w:t>
            </w:r>
          </w:p>
        </w:tc>
        <w:tc>
          <w:tcPr>
            <w:tcW w:type="dxa" w:w="73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关键字段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HJ212</w:t>
            </w:r>
          </w:p>
        </w:tc>
        <w:tc>
          <w:tcPr>
            <w:tcW w:type="dxa" w:w="7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MN、PW、ST、Flag、协议版本、目标 IP/端口、重试和超时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系统</w:t>
            </w:r>
          </w:p>
        </w:tc>
        <w:tc>
          <w:tcPr>
            <w:tcW w:type="dxa" w:w="7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采集周期、上传周期、远程平台地址和时间参数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功能开关</w:t>
            </w:r>
          </w:p>
        </w:tc>
        <w:tc>
          <w:tcPr>
            <w:tcW w:type="dxa" w:w="7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采集、显示、存储、上传、告警、温控和 IO 功能状态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温控</w:t>
            </w:r>
          </w:p>
        </w:tc>
        <w:tc>
          <w:tcPr>
            <w:tcW w:type="dxa" w:w="7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加热启停、温度上下限和相关联锁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因子</w:t>
            </w:r>
          </w:p>
        </w:tc>
        <w:tc>
          <w:tcPr>
            <w:tcW w:type="dxa" w:w="7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因子编码、名称、单位、量程、报警值、串口和缩放参数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设备</w:t>
            </w:r>
          </w:p>
        </w:tc>
        <w:tc>
          <w:tcPr>
            <w:tcW w:type="dxa" w:w="7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02830"/>
                <w:sz w:val="18"/>
              </w:rPr>
              <w:t>设备编号、型号、版本、点位、经纬度和维护信息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5D6975"/>
        <w:sz w:val="18"/>
      </w:rPr>
      <w:t xml:space="preserve">第 </w:t>
    </w:r>
    <w:fldSimple w:instr="PAGE"/>
    <w:r>
      <w:rPr>
        <w:rFonts w:ascii="Calibri" w:hAnsi="Calibri" w:eastAsia="Microsoft YaHei"/>
        <w:b w:val="0"/>
        <w:i w:val="0"/>
        <w:color w:val="5D69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i w:val="0"/>
        <w:color w:val="5D6975"/>
        <w:sz w:val="17"/>
      </w:rPr>
      <w:t>空气微站系列维修说明书 | 技术服务文件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2028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空气微站系列维修说明书</dc:title>
  <dc:subject>空气微站预防性维护、故障诊断和维修验收</dc:subject>
  <dc:creator>湖北晋楚科技发展有限公司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