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职安盾 VeriWork 人工智能工具使用情况说明</w:t>
      </w:r>
    </w:p>
    <w:p>
      <w:r>
        <w:rPr>
          <w:b/>
          <w:sz w:val="28"/>
        </w:rPr>
        <w:t>一、总体结论</w:t>
      </w:r>
    </w:p>
    <w:p>
      <w:pPr>
        <w:spacing w:line="360" w:lineRule="auto"/>
      </w:pPr>
      <w:r>
        <w:t>本项目使用生成式人工智能工具，选择“使用”。</w:t>
      </w:r>
    </w:p>
    <w:p>
      <w:pPr>
        <w:spacing w:line="360" w:lineRule="auto"/>
      </w:pPr>
      <w:r>
        <w:t>AI 主要用于代码辅助、文档结构草拟、测试用例设计、风险规则梳理和系统运行时的候选风险分析。风险分类、业务目标、评审材料取舍、系统测试结果确认和最终提交责任由学生团队承担。</w:t>
      </w:r>
    </w:p>
    <w:p>
      <w:r>
        <w:rPr>
          <w:b/>
          <w:sz w:val="28"/>
        </w:rPr>
        <w:t>二、使用工具清单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t>工具或模型</w:t>
            </w:r>
          </w:p>
        </w:tc>
        <w:tc>
          <w:tcPr>
            <w:tcW w:type="dxa" w:w="3060"/>
          </w:tcPr>
          <w:p>
            <w:r>
              <w:t>使用环节</w:t>
            </w:r>
          </w:p>
        </w:tc>
        <w:tc>
          <w:tcPr>
            <w:tcW w:type="dxa" w:w="3060"/>
          </w:tcPr>
          <w:p>
            <w:r>
              <w:t>是否进入最终系统运行</w:t>
            </w:r>
          </w:p>
        </w:tc>
      </w:tr>
      <w:tr>
        <w:tc>
          <w:tcPr>
            <w:tcW w:type="dxa" w:w="3060"/>
          </w:tcPr>
          <w:p>
            <w:r>
              <w:t>OpenAI Codex</w:t>
            </w:r>
          </w:p>
        </w:tc>
        <w:tc>
          <w:tcPr>
            <w:tcW w:type="dxa" w:w="3060"/>
          </w:tcPr>
          <w:p>
            <w:r>
              <w:t>项目结构、代码草拟、测试脚本、文档初稿和问题诊断</w:t>
            </w:r>
          </w:p>
        </w:tc>
        <w:tc>
          <w:tcPr>
            <w:tcW w:type="dxa" w:w="3060"/>
          </w:tcPr>
          <w:p>
            <w:r>
              <w:t>不直接进入运行时</w:t>
            </w:r>
          </w:p>
        </w:tc>
      </w:tr>
      <w:tr>
        <w:tc>
          <w:tcPr>
            <w:tcW w:type="dxa" w:w="3060"/>
          </w:tcPr>
          <w:p>
            <w:r>
              <w:t>DeepSeek deepseek-flash</w:t>
            </w:r>
          </w:p>
        </w:tc>
        <w:tc>
          <w:tcPr>
            <w:tcW w:type="dxa" w:w="3060"/>
          </w:tcPr>
          <w:p>
            <w:r>
              <w:t>候选风险召回、风险解释和材料草拟</w:t>
            </w:r>
          </w:p>
        </w:tc>
        <w:tc>
          <w:tcPr>
            <w:tcW w:type="dxa" w:w="3060"/>
          </w:tcPr>
          <w:p>
            <w:r>
              <w:t>是，通过后端 API 调用</w:t>
            </w:r>
          </w:p>
        </w:tc>
      </w:tr>
      <w:tr>
        <w:tc>
          <w:tcPr>
            <w:tcW w:type="dxa" w:w="3060"/>
          </w:tcPr>
          <w:p>
            <w:r>
              <w:t>DeepSeek deepseek-v4-pro</w:t>
            </w:r>
          </w:p>
        </w:tc>
        <w:tc>
          <w:tcPr>
            <w:tcW w:type="dxa" w:w="3060"/>
          </w:tcPr>
          <w:p>
            <w:r>
              <w:t>双模型对照与泛化测试</w:t>
            </w:r>
          </w:p>
        </w:tc>
        <w:tc>
          <w:tcPr>
            <w:tcW w:type="dxa" w:w="3060"/>
          </w:tcPr>
          <w:p>
            <w:r>
              <w:t>仅用于评测，不默认进入运行时</w:t>
            </w:r>
          </w:p>
        </w:tc>
      </w:tr>
      <w:tr>
        <w:tc>
          <w:tcPr>
            <w:tcW w:type="dxa" w:w="3060"/>
          </w:tcPr>
          <w:p>
            <w:r>
              <w:t>【其他工具】</w:t>
            </w:r>
          </w:p>
        </w:tc>
        <w:tc>
          <w:tcPr>
            <w:tcW w:type="dxa" w:w="3060"/>
          </w:tcPr>
          <w:p>
            <w:r>
              <w:t>【待填写】</w:t>
            </w:r>
          </w:p>
        </w:tc>
        <w:tc>
          <w:tcPr>
            <w:tcW w:type="dxa" w:w="3060"/>
          </w:tcPr>
          <w:p>
            <w:r>
              <w:t>【待填写】</w:t>
            </w:r>
          </w:p>
        </w:tc>
      </w:tr>
    </w:tbl>
    <w:p>
      <w:r>
        <w:rPr>
          <w:b/>
          <w:sz w:val="28"/>
        </w:rPr>
        <w:t>三、主要工作流</w:t>
      </w:r>
    </w:p>
    <w:p>
      <w:pPr>
        <w:pStyle w:val="ListBullet"/>
        <w:spacing w:line="324" w:lineRule="auto"/>
      </w:pPr>
      <w:r>
        <w:t>团队根据竞赛指南和就业合同场景确定项目目标、风险类别和合规边界。</w:t>
      </w:r>
    </w:p>
    <w:p>
      <w:pPr>
        <w:pStyle w:val="ListBullet"/>
        <w:spacing w:line="324" w:lineRule="auto"/>
      </w:pPr>
      <w:r>
        <w:t>开发辅助 AI 用于生成初始代码结构和文档草稿。</w:t>
      </w:r>
    </w:p>
    <w:p>
      <w:pPr>
        <w:pStyle w:val="ListBullet"/>
        <w:spacing w:line="324" w:lineRule="auto"/>
      </w:pPr>
      <w:r>
        <w:t>团队对规则、界面、交互、测试用例和文案进行筛选、修改和验收。</w:t>
      </w:r>
    </w:p>
    <w:p>
      <w:pPr>
        <w:pStyle w:val="ListBullet"/>
        <w:spacing w:line="324" w:lineRule="auto"/>
      </w:pPr>
      <w:r>
        <w:t>系统运行时调用大模型，在允许的风险 ID 范围内提出有原文依据的候选风险。</w:t>
      </w:r>
    </w:p>
    <w:p>
      <w:pPr>
        <w:pStyle w:val="ListBullet"/>
        <w:spacing w:line="324" w:lineRule="auto"/>
      </w:pPr>
      <w:r>
        <w:t>服务端校验风险 ID 和原文片段，再绑定本地法源。</w:t>
      </w:r>
    </w:p>
    <w:p>
      <w:pPr>
        <w:pStyle w:val="ListBullet"/>
        <w:spacing w:line="324" w:lineRule="auto"/>
      </w:pPr>
      <w:r>
        <w:t>没有原文支持、低置信度或非法 ID 的模型输出会被丢弃。</w:t>
      </w:r>
    </w:p>
    <w:p>
      <w:pPr>
        <w:pStyle w:val="ListBullet"/>
        <w:spacing w:line="324" w:lineRule="auto"/>
      </w:pPr>
      <w:r>
        <w:t>信息不足时，系统输出待核实，不给出确定法律结论。</w:t>
      </w:r>
    </w:p>
    <w:p>
      <w:r>
        <w:rPr>
          <w:b/>
          <w:sz w:val="28"/>
        </w:rPr>
        <w:t>四、人工筛选与修改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t>环节</w:t>
            </w:r>
          </w:p>
        </w:tc>
        <w:tc>
          <w:tcPr>
            <w:tcW w:type="dxa" w:w="3060"/>
          </w:tcPr>
          <w:p>
            <w:r>
              <w:t>团队实际工作</w:t>
            </w:r>
          </w:p>
        </w:tc>
        <w:tc>
          <w:tcPr>
            <w:tcW w:type="dxa" w:w="3060"/>
          </w:tcPr>
          <w:p>
            <w:r>
              <w:t>证据材料</w:t>
            </w:r>
          </w:p>
        </w:tc>
      </w:tr>
      <w:tr>
        <w:tc>
          <w:tcPr>
            <w:tcW w:type="dxa" w:w="3060"/>
          </w:tcPr>
          <w:p>
            <w:r>
              <w:t>代码</w:t>
            </w:r>
          </w:p>
        </w:tc>
        <w:tc>
          <w:tcPr>
            <w:tcW w:type="dxa" w:w="3060"/>
          </w:tcPr>
          <w:p>
            <w:r>
              <w:t>复核、修改、调试和集成</w:t>
            </w:r>
          </w:p>
        </w:tc>
        <w:tc>
          <w:tcPr>
            <w:tcW w:type="dxa" w:w="3060"/>
          </w:tcPr>
          <w:p>
            <w:r>
              <w:t>【提交前填写】</w:t>
            </w:r>
          </w:p>
        </w:tc>
      </w:tr>
      <w:tr>
        <w:tc>
          <w:tcPr>
            <w:tcW w:type="dxa" w:w="3060"/>
          </w:tcPr>
          <w:p>
            <w:r>
              <w:t>规则</w:t>
            </w:r>
          </w:p>
        </w:tc>
        <w:tc>
          <w:tcPr>
            <w:tcW w:type="dxa" w:w="3060"/>
          </w:tcPr>
          <w:p>
            <w:r>
              <w:t>筛选风险类别、调整条件和例外</w:t>
            </w:r>
          </w:p>
        </w:tc>
        <w:tc>
          <w:tcPr>
            <w:tcW w:type="dxa" w:w="3060"/>
          </w:tcPr>
          <w:p>
            <w:r>
              <w:t>【提交前填写】</w:t>
            </w:r>
          </w:p>
        </w:tc>
      </w:tr>
      <w:tr>
        <w:tc>
          <w:tcPr>
            <w:tcW w:type="dxa" w:w="3060"/>
          </w:tcPr>
          <w:p>
            <w:r>
              <w:t>法源</w:t>
            </w:r>
          </w:p>
        </w:tc>
        <w:tc>
          <w:tcPr>
            <w:tcW w:type="dxa" w:w="3060"/>
          </w:tcPr>
          <w:p>
            <w:r>
              <w:t>核对来源、适用范围和版本</w:t>
            </w:r>
          </w:p>
        </w:tc>
        <w:tc>
          <w:tcPr>
            <w:tcW w:type="dxa" w:w="3060"/>
          </w:tcPr>
          <w:p>
            <w:r>
              <w:t>【提交前填写】</w:t>
            </w:r>
          </w:p>
        </w:tc>
      </w:tr>
      <w:tr>
        <w:tc>
          <w:tcPr>
            <w:tcW w:type="dxa" w:w="3060"/>
          </w:tcPr>
          <w:p>
            <w:r>
              <w:t>数据</w:t>
            </w:r>
          </w:p>
        </w:tc>
        <w:tc>
          <w:tcPr>
            <w:tcW w:type="dxa" w:w="3060"/>
          </w:tcPr>
          <w:p>
            <w:r>
              <w:t>构造评测样本、标注和错误分析</w:t>
            </w:r>
          </w:p>
        </w:tc>
        <w:tc>
          <w:tcPr>
            <w:tcW w:type="dxa" w:w="3060"/>
          </w:tcPr>
          <w:p>
            <w:r>
              <w:t>【提交前填写】</w:t>
            </w:r>
          </w:p>
        </w:tc>
      </w:tr>
      <w:tr>
        <w:tc>
          <w:tcPr>
            <w:tcW w:type="dxa" w:w="3060"/>
          </w:tcPr>
          <w:p>
            <w:r>
              <w:t>材料</w:t>
            </w:r>
          </w:p>
        </w:tc>
        <w:tc>
          <w:tcPr>
            <w:tcW w:type="dxa" w:w="3060"/>
          </w:tcPr>
          <w:p>
            <w:r>
              <w:t>重写作品说明、PPT和视频文案</w:t>
            </w:r>
          </w:p>
        </w:tc>
        <w:tc>
          <w:tcPr>
            <w:tcW w:type="dxa" w:w="3060"/>
          </w:tcPr>
          <w:p>
            <w:r>
              <w:t>【提交前填写】</w:t>
            </w:r>
          </w:p>
        </w:tc>
      </w:tr>
    </w:tbl>
    <w:p>
      <w:r>
        <w:rPr>
          <w:b/>
          <w:sz w:val="28"/>
        </w:rPr>
        <w:t>五、版权和数据合规</w:t>
      </w:r>
    </w:p>
    <w:p>
      <w:pPr>
        <w:pStyle w:val="ListBullet"/>
        <w:spacing w:line="324" w:lineRule="auto"/>
      </w:pPr>
      <w:r>
        <w:t>演示和公开材料使用合成、匿名或获得授权的数据。</w:t>
      </w:r>
    </w:p>
    <w:p>
      <w:pPr>
        <w:pStyle w:val="ListBullet"/>
        <w:spacing w:line="324" w:lineRule="auto"/>
      </w:pPr>
      <w:r>
        <w:t>API 密钥只保存在服务器本地配置中，不进入浏览器、截图和公开压缩包。</w:t>
      </w:r>
    </w:p>
    <w:p>
      <w:pPr>
        <w:pStyle w:val="ListBullet"/>
        <w:spacing w:line="324" w:lineRule="auto"/>
      </w:pPr>
      <w:r>
        <w:t>第三方代码、字体、图标、法规和数据均在来源清单中注明。</w:t>
      </w:r>
    </w:p>
    <w:p>
      <w:pPr>
        <w:pStyle w:val="ListBullet"/>
        <w:spacing w:line="324" w:lineRule="auto"/>
      </w:pPr>
      <w:r>
        <w:t>AI 生成内容如需公开展示，按国家规定标识。</w:t>
      </w:r>
    </w:p>
    <w:p>
      <w:r>
        <w:rPr>
          <w:b/>
          <w:sz w:val="28"/>
        </w:rPr>
        <w:t>六、风险声明</w:t>
      </w:r>
    </w:p>
    <w:p>
      <w:pPr>
        <w:spacing w:line="360" w:lineRule="auto"/>
      </w:pPr>
      <w:r>
        <w:t>AI 输出可能存在错误，不能替代律师、仲裁机构或人社部门作出最终法律判断。项目保留规则校验、原文校验、拒答和人工复核机制，但团队不宣称系统的法律结论绝对正确。</w:t>
      </w:r>
    </w:p>
    <w:p>
      <w:r>
        <w:rPr>
          <w:b/>
          <w:sz w:val="28"/>
        </w:rPr>
        <w:t>七、团队确认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r>
              <w:t>身份</w:t>
            </w:r>
          </w:p>
        </w:tc>
        <w:tc>
          <w:tcPr>
            <w:tcW w:type="dxa" w:w="2295"/>
          </w:tcPr>
          <w:p>
            <w:r>
              <w:t>姓名</w:t>
            </w:r>
          </w:p>
        </w:tc>
        <w:tc>
          <w:tcPr>
            <w:tcW w:type="dxa" w:w="2295"/>
          </w:tcPr>
          <w:p>
            <w:r>
              <w:t>签字</w:t>
            </w:r>
          </w:p>
        </w:tc>
        <w:tc>
          <w:tcPr>
            <w:tcW w:type="dxa" w:w="2295"/>
          </w:tcPr>
          <w:p>
            <w:r>
              <w:t>日期</w:t>
            </w:r>
          </w:p>
        </w:tc>
      </w:tr>
      <w:tr>
        <w:tc>
          <w:tcPr>
            <w:tcW w:type="dxa" w:w="2295"/>
          </w:tcPr>
          <w:p>
            <w:r>
              <w:t>团队负责人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团队成员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团队成员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团队成员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团队成员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指导教师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</w:tbl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