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职安盾 VeriWork 作品介绍文档</w:t>
      </w:r>
    </w:p>
    <w:p>
      <w:pPr>
        <w:jc w:val="center"/>
      </w:pPr>
      <w:r>
        <w:rPr>
          <w:sz w:val="24"/>
        </w:rPr>
        <w:t>面向高校毕业生就业合同的可验证 AI 风险评估与证据链系统</w:t>
      </w:r>
    </w:p>
    <w:p>
      <w:r>
        <w:rPr>
          <w:b/>
          <w:sz w:val="28"/>
        </w:rPr>
        <w:t>一、作品基本信息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>
              <w:t>项目</w:t>
            </w:r>
          </w:p>
        </w:tc>
        <w:tc>
          <w:tcPr>
            <w:tcW w:type="dxa" w:w="4589"/>
          </w:tcPr>
          <w:p>
            <w:r>
              <w:t>内容</w:t>
            </w:r>
          </w:p>
        </w:tc>
      </w:tr>
      <w:tr>
        <w:tc>
          <w:tcPr>
            <w:tcW w:type="dxa" w:w="4589"/>
          </w:tcPr>
          <w:p>
            <w:r>
              <w:t>作品名称</w:t>
            </w:r>
          </w:p>
        </w:tc>
        <w:tc>
          <w:tcPr>
            <w:tcW w:type="dxa" w:w="4589"/>
          </w:tcPr>
          <w:p>
            <w:r>
              <w:t>职安盾——面向高校毕业生就业合同的可验证 AI 风险评估与证据链系统</w:t>
            </w:r>
          </w:p>
        </w:tc>
      </w:tr>
      <w:tr>
        <w:tc>
          <w:tcPr>
            <w:tcW w:type="dxa" w:w="4589"/>
          </w:tcPr>
          <w:p>
            <w:r>
              <w:t>参赛赛道</w:t>
            </w:r>
          </w:p>
        </w:tc>
        <w:tc>
          <w:tcPr>
            <w:tcW w:type="dxa" w:w="4589"/>
          </w:tcPr>
          <w:p>
            <w:r>
              <w:t>自主选题类—移动与网络应用开发类赛项</w:t>
            </w:r>
          </w:p>
        </w:tc>
      </w:tr>
      <w:tr>
        <w:tc>
          <w:tcPr>
            <w:tcW w:type="dxa" w:w="4589"/>
          </w:tcPr>
          <w:p>
            <w:r>
              <w:t>作品形态</w:t>
            </w:r>
          </w:p>
        </w:tc>
        <w:tc>
          <w:tcPr>
            <w:tcW w:type="dxa" w:w="4589"/>
          </w:tcPr>
          <w:p>
            <w:r>
              <w:t>Web 应用与网络信息服务平台</w:t>
            </w:r>
          </w:p>
        </w:tc>
      </w:tr>
      <w:tr>
        <w:tc>
          <w:tcPr>
            <w:tcW w:type="dxa" w:w="4589"/>
          </w:tcPr>
          <w:p>
            <w:r>
              <w:t>团队名称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  <w:tr>
        <w:tc>
          <w:tcPr>
            <w:tcW w:type="dxa" w:w="4589"/>
          </w:tcPr>
          <w:p>
            <w:r>
              <w:t>第一申报单位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  <w:tr>
        <w:tc>
          <w:tcPr>
            <w:tcW w:type="dxa" w:w="4589"/>
          </w:tcPr>
          <w:p>
            <w:r>
              <w:t>团队成员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  <w:tr>
        <w:tc>
          <w:tcPr>
            <w:tcW w:type="dxa" w:w="4589"/>
          </w:tcPr>
          <w:p>
            <w:r>
              <w:t>指导教师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  <w:tr>
        <w:tc>
          <w:tcPr>
            <w:tcW w:type="dxa" w:w="4589"/>
          </w:tcPr>
          <w:p>
            <w:r>
              <w:t>作品版本</w:t>
            </w:r>
          </w:p>
        </w:tc>
        <w:tc>
          <w:tcPr>
            <w:tcW w:type="dxa" w:w="4589"/>
          </w:tcPr>
          <w:p>
            <w:r>
              <w:t>V1.0</w:t>
            </w:r>
          </w:p>
        </w:tc>
      </w:tr>
    </w:tbl>
    <w:p>
      <w:r>
        <w:rPr>
          <w:b/>
          <w:sz w:val="28"/>
        </w:rPr>
        <w:t>二、选题背景</w:t>
      </w:r>
    </w:p>
    <w:p>
      <w:pPr>
        <w:spacing w:line="360" w:lineRule="auto"/>
      </w:pPr>
      <w:r>
        <w:t>高校毕业生和初入职场人群普遍缺少劳动法律知识，但就业合同中的试用期、社会保险、工资、加班、竞业限制和离职条款直接影响其合法权益。通用大模型虽然可以解释合同，却存在法条引用错误、结论不可追溯、信息不足仍强制回答等问题。</w:t>
      </w:r>
    </w:p>
    <w:p>
      <w:pPr>
        <w:spacing w:line="360" w:lineRule="auto"/>
      </w:pPr>
      <w:r>
        <w:t>本项目研究的核心问题不是让大模型多回答一个法律问题，而是让 AI 在高后果场景中做到有依据、可验证、能行动。系统将确定性规则、语义识别、法源检索、大模型候选召回和人工核实机制组合，降低大模型在就业合同风险判断中的不确定性。</w:t>
      </w:r>
    </w:p>
    <w:p>
      <w:r>
        <w:rPr>
          <w:b/>
          <w:sz w:val="28"/>
        </w:rPr>
        <w:t>三、作品目标</w:t>
      </w:r>
    </w:p>
    <w:p>
      <w:pPr>
        <w:pStyle w:val="ListBullet"/>
        <w:spacing w:line="324" w:lineRule="auto"/>
      </w:pPr>
      <w:r>
        <w:t>帮助用户识别常见就业合同风险。</w:t>
      </w:r>
    </w:p>
    <w:p>
      <w:pPr>
        <w:pStyle w:val="ListBullet"/>
        <w:spacing w:line="324" w:lineRule="auto"/>
      </w:pPr>
      <w:r>
        <w:t>将每项风险绑定到合同原文和法律依据。</w:t>
      </w:r>
    </w:p>
    <w:p>
      <w:pPr>
        <w:pStyle w:val="ListBullet"/>
        <w:spacing w:line="324" w:lineRule="auto"/>
      </w:pPr>
      <w:r>
        <w:t>在信息不足或依据不足时停止输出确定结论。</w:t>
      </w:r>
    </w:p>
    <w:p>
      <w:pPr>
        <w:pStyle w:val="ListBullet"/>
        <w:spacing w:line="324" w:lineRule="auto"/>
      </w:pPr>
      <w:r>
        <w:t>将风险提示扩展到证据清单、沟通问题和材料草稿。</w:t>
      </w:r>
    </w:p>
    <w:p>
      <w:pPr>
        <w:pStyle w:val="ListBullet"/>
        <w:spacing w:line="324" w:lineRule="auto"/>
      </w:pPr>
      <w:r>
        <w:t>通过可复现实验比较通用大模型和可信混合链路。</w:t>
      </w:r>
    </w:p>
    <w:p>
      <w:r>
        <w:rPr>
          <w:b/>
          <w:sz w:val="28"/>
        </w:rPr>
        <w:t>四、系统功能</w:t>
      </w:r>
    </w:p>
    <w:p>
      <w:r>
        <w:rPr>
          <w:b/>
          <w:sz w:val="24"/>
        </w:rPr>
        <w:t>1. 合同可信研判</w:t>
      </w:r>
    </w:p>
    <w:p>
      <w:pPr>
        <w:spacing w:line="360" w:lineRule="auto"/>
      </w:pPr>
      <w:r>
        <w:t>用户粘贴合同、Offer 或实习协议后，系统输出风险分、风险等级、风险原文、风险原因、法源、置信度和行动建议。</w:t>
      </w:r>
    </w:p>
    <w:p>
      <w:r>
        <w:rPr>
          <w:b/>
          <w:sz w:val="24"/>
        </w:rPr>
        <w:t>2. 可信轨迹</w:t>
      </w:r>
    </w:p>
    <w:p>
      <w:pPr>
        <w:spacing w:line="360" w:lineRule="auto"/>
      </w:pPr>
      <w:r>
        <w:t>展示条款抽取、法源检索、规则判断、语义召回、大模型候选和拒答过程。</w:t>
      </w:r>
    </w:p>
    <w:p>
      <w:r>
        <w:rPr>
          <w:b/>
          <w:sz w:val="24"/>
        </w:rPr>
        <w:t>3. 证据链</w:t>
      </w:r>
    </w:p>
    <w:p>
      <w:pPr>
        <w:spacing w:line="360" w:lineRule="auto"/>
      </w:pPr>
      <w:r>
        <w:t>提供证据完整度、事件时间线、HR 沟通问题、投诉和仲裁材料草稿。</w:t>
      </w:r>
    </w:p>
    <w:p>
      <w:r>
        <w:rPr>
          <w:b/>
          <w:sz w:val="24"/>
        </w:rPr>
        <w:t>4. 可信评测</w:t>
      </w:r>
    </w:p>
    <w:p>
      <w:pPr>
        <w:spacing w:line="360" w:lineRule="auto"/>
      </w:pPr>
      <w:r>
        <w:t>通过 80 条开发回归集、32 条早期留出集和 40 条冻结留出集，测量精确率、召回率、F1、法源覆盖率和待核实召回率。</w:t>
      </w:r>
    </w:p>
    <w:p>
      <w:r>
        <w:rPr>
          <w:b/>
          <w:sz w:val="24"/>
        </w:rPr>
        <w:t>5. 政策包治理</w:t>
      </w:r>
    </w:p>
    <w:p>
      <w:pPr>
        <w:spacing w:line="360" w:lineRule="auto"/>
      </w:pPr>
      <w:r>
        <w:t>建立全国规则加地方政策包结构，动态标准必须记录适用范围、生效时间、官方来源和核验人。</w:t>
      </w:r>
    </w:p>
    <w:p>
      <w:r>
        <w:rPr>
          <w:b/>
          <w:sz w:val="28"/>
        </w:rPr>
        <w:t>五、核心创新</w:t>
      </w:r>
    </w:p>
    <w:p>
      <w:r>
        <w:rPr>
          <w:b/>
          <w:sz w:val="24"/>
        </w:rPr>
        <w:t>创新一：规则拥有硬约束权</w:t>
      </w:r>
    </w:p>
    <w:p>
      <w:pPr>
        <w:spacing w:line="360" w:lineRule="auto"/>
      </w:pPr>
      <w:r>
        <w:t>试用期期限、社保缴纳、入职收费、培训贷、加班费和竞业限制期限等规则明确的事项由确定性规则负责。大模型不能修改风险等级或新增不存在的法条。</w:t>
      </w:r>
    </w:p>
    <w:p>
      <w:r>
        <w:rPr>
          <w:b/>
          <w:sz w:val="24"/>
        </w:rPr>
        <w:t>创新二：大模型只做受限候选召回</w:t>
      </w:r>
    </w:p>
    <w:p>
      <w:pPr>
        <w:spacing w:line="360" w:lineRule="auto"/>
      </w:pPr>
      <w:r>
        <w:t>大模型只能在系统允许的风险 ID 内提出候选风险，并必须给出输入文本中的真实原文片段。无原文依据、低置信度或非法 ID 会被系统丢弃。</w:t>
      </w:r>
    </w:p>
    <w:p>
      <w:r>
        <w:rPr>
          <w:b/>
          <w:sz w:val="24"/>
        </w:rPr>
        <w:t>创新三：信息不足时主动拒答</w:t>
      </w:r>
    </w:p>
    <w:p>
      <w:pPr>
        <w:spacing w:line="360" w:lineRule="auto"/>
      </w:pPr>
      <w:r>
        <w:t>系统识别实习、兼职、劳务、项目合作、条款缺失和信息不一致等情形，输出待核实，避免形成确定但错误的判断。</w:t>
      </w:r>
    </w:p>
    <w:p>
      <w:r>
        <w:rPr>
          <w:b/>
          <w:sz w:val="24"/>
        </w:rPr>
        <w:t>创新四：从风险识别延伸到证据与行动</w:t>
      </w:r>
    </w:p>
    <w:p>
      <w:pPr>
        <w:spacing w:line="360" w:lineRule="auto"/>
      </w:pPr>
      <w:r>
        <w:t>系统不只给出风险，还帮助用户规划证据、沟通和办理材料。</w:t>
      </w:r>
    </w:p>
    <w:p>
      <w:r>
        <w:rPr>
          <w:b/>
          <w:sz w:val="24"/>
        </w:rPr>
        <w:t>创新五：把可信性做成可测量指标</w:t>
      </w:r>
    </w:p>
    <w:p>
      <w:pPr>
        <w:spacing w:line="360" w:lineRule="auto"/>
      </w:pPr>
      <w:r>
        <w:t>项目保留开发集、留出集和失败案例，区分开发回归结果与泛化结果，不通过删除失败样本制造完美指标。</w:t>
      </w:r>
    </w:p>
    <w:p>
      <w:r>
        <w:rPr>
          <w:b/>
          <w:sz w:val="28"/>
        </w:rPr>
        <w:t>六、技术路线</w:t>
      </w:r>
    </w:p>
    <w:p>
      <w:pPr>
        <w:pStyle w:val="ListBullet"/>
        <w:spacing w:line="324" w:lineRule="auto"/>
      </w:pPr>
      <w:r>
        <w:t>前端：HTML、CSS、JavaScript。</w:t>
      </w:r>
    </w:p>
    <w:p>
      <w:pPr>
        <w:pStyle w:val="ListBullet"/>
        <w:spacing w:line="324" w:lineRule="auto"/>
      </w:pPr>
      <w:r>
        <w:t>后端：Python 标准库 HTTP 服务，无第三方运行依赖。</w:t>
      </w:r>
    </w:p>
    <w:p>
      <w:pPr>
        <w:pStyle w:val="ListBullet"/>
        <w:spacing w:line="324" w:lineRule="auto"/>
      </w:pPr>
      <w:r>
        <w:t>风险决策：确定性规则、语义回退、法源检索、大模型候选和交叉校验。</w:t>
      </w:r>
    </w:p>
    <w:p>
      <w:pPr>
        <w:pStyle w:val="ListBullet"/>
        <w:spacing w:line="324" w:lineRule="auto"/>
      </w:pPr>
      <w:r>
        <w:t>大模型接口：OpenAI-compatible Chat Completions。</w:t>
      </w:r>
    </w:p>
    <w:p>
      <w:pPr>
        <w:pStyle w:val="ListBullet"/>
        <w:spacing w:line="324" w:lineRule="auto"/>
      </w:pPr>
      <w:r>
        <w:t>指标体系：风险 ID、原文证据、法源、置信度、检测方式和待核实标记。</w:t>
      </w:r>
    </w:p>
    <w:p>
      <w:pPr>
        <w:pStyle w:val="ListBullet"/>
        <w:spacing w:line="324" w:lineRule="auto"/>
      </w:pPr>
      <w:r>
        <w:t>隐私治理：默认不长期保存合同，配置与代码分离，密钥不进入浏览器和公开包。</w:t>
      </w:r>
    </w:p>
    <w:p>
      <w:r>
        <w:rPr>
          <w:b/>
          <w:sz w:val="28"/>
        </w:rPr>
        <w:t>七、系统流程</w:t>
      </w:r>
    </w:p>
    <w:p>
      <w:pPr>
        <w:spacing w:line="360" w:lineRule="auto"/>
      </w:pPr>
      <w:r>
        <w:t>材料输入 → 条款切分 → 风险规则判断 → 语义长尾召回 → 大模型候选 → 原文与法源校验 → 风险报告 → 证据链 → 行动材料。</w:t>
      </w:r>
    </w:p>
    <w:p>
      <w:r>
        <w:rPr>
          <w:b/>
          <w:sz w:val="28"/>
        </w:rPr>
        <w:t>八、测试与实验</w:t>
      </w:r>
    </w:p>
    <w:p>
      <w:r>
        <w:rPr>
          <w:b/>
          <w:sz w:val="24"/>
        </w:rPr>
        <w:t>已完成实验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系统</w:t>
            </w:r>
          </w:p>
        </w:tc>
        <w:tc>
          <w:tcPr>
            <w:tcW w:type="dxa" w:w="1530"/>
          </w:tcPr>
          <w:p>
            <w:r>
              <w:t>数据集</w:t>
            </w:r>
          </w:p>
        </w:tc>
        <w:tc>
          <w:tcPr>
            <w:tcW w:type="dxa" w:w="1530"/>
          </w:tcPr>
          <w:p>
            <w:r>
              <w:t>Precision</w:t>
            </w:r>
          </w:p>
        </w:tc>
        <w:tc>
          <w:tcPr>
            <w:tcW w:type="dxa" w:w="1530"/>
          </w:tcPr>
          <w:p>
            <w:r>
              <w:t>Recall</w:t>
            </w:r>
          </w:p>
        </w:tc>
        <w:tc>
          <w:tcPr>
            <w:tcW w:type="dxa" w:w="1530"/>
          </w:tcPr>
          <w:p>
            <w:r>
              <w:t>F1</w:t>
            </w:r>
          </w:p>
        </w:tc>
        <w:tc>
          <w:tcPr>
            <w:tcW w:type="dxa" w:w="1530"/>
          </w:tcPr>
          <w:p>
            <w:r>
              <w:t>法源覆盖</w:t>
            </w:r>
          </w:p>
        </w:tc>
      </w:tr>
      <w:tr>
        <w:tc>
          <w:tcPr>
            <w:tcW w:type="dxa" w:w="1530"/>
          </w:tcPr>
          <w:p>
            <w:r>
              <w:t>DeepSeek-Flash 直答</w:t>
            </w:r>
          </w:p>
        </w:tc>
        <w:tc>
          <w:tcPr>
            <w:tcW w:type="dxa" w:w="1530"/>
          </w:tcPr>
          <w:p>
            <w:r>
              <w:t>40 条冻结留出集</w:t>
            </w:r>
          </w:p>
        </w:tc>
        <w:tc>
          <w:tcPr>
            <w:tcW w:type="dxa" w:w="1530"/>
          </w:tcPr>
          <w:p>
            <w:r>
              <w:t>96.3%</w:t>
            </w:r>
          </w:p>
        </w:tc>
        <w:tc>
          <w:tcPr>
            <w:tcW w:type="dxa" w:w="1530"/>
          </w:tcPr>
          <w:p>
            <w:r>
              <w:t>100%</w:t>
            </w:r>
          </w:p>
        </w:tc>
        <w:tc>
          <w:tcPr>
            <w:tcW w:type="dxa" w:w="1530"/>
          </w:tcPr>
          <w:p>
            <w:r>
              <w:t>98.1%</w:t>
            </w:r>
          </w:p>
        </w:tc>
        <w:tc>
          <w:tcPr>
            <w:tcW w:type="dxa" w:w="1530"/>
          </w:tcPr>
          <w:p>
            <w:r>
              <w:t>0%</w:t>
            </w:r>
          </w:p>
        </w:tc>
      </w:tr>
      <w:tr>
        <w:tc>
          <w:tcPr>
            <w:tcW w:type="dxa" w:w="1530"/>
          </w:tcPr>
          <w:p>
            <w:r>
              <w:t>职安盾混合链</w:t>
            </w:r>
          </w:p>
        </w:tc>
        <w:tc>
          <w:tcPr>
            <w:tcW w:type="dxa" w:w="1530"/>
          </w:tcPr>
          <w:p>
            <w:r>
              <w:t>40 条冻结留出集</w:t>
            </w:r>
          </w:p>
        </w:tc>
        <w:tc>
          <w:tcPr>
            <w:tcW w:type="dxa" w:w="1530"/>
          </w:tcPr>
          <w:p>
            <w:r>
              <w:t>96.3%</w:t>
            </w:r>
          </w:p>
        </w:tc>
        <w:tc>
          <w:tcPr>
            <w:tcW w:type="dxa" w:w="1530"/>
          </w:tcPr>
          <w:p>
            <w:r>
              <w:t>100%</w:t>
            </w:r>
          </w:p>
        </w:tc>
        <w:tc>
          <w:tcPr>
            <w:tcW w:type="dxa" w:w="1530"/>
          </w:tcPr>
          <w:p>
            <w:r>
              <w:t>98.1%</w:t>
            </w:r>
          </w:p>
        </w:tc>
        <w:tc>
          <w:tcPr>
            <w:tcW w:type="dxa" w:w="1530"/>
          </w:tcPr>
          <w:p>
            <w:r>
              <w:t>100%</w:t>
            </w:r>
          </w:p>
        </w:tc>
      </w:tr>
      <w:tr>
        <w:tc>
          <w:tcPr>
            <w:tcW w:type="dxa" w:w="1530"/>
          </w:tcPr>
          <w:p>
            <w:r>
              <w:t>DeepSeek-V4-Pro 直答</w:t>
            </w:r>
          </w:p>
        </w:tc>
        <w:tc>
          <w:tcPr>
            <w:tcW w:type="dxa" w:w="1530"/>
          </w:tcPr>
          <w:p>
            <w:r>
              <w:t>32 条成功样本</w:t>
            </w:r>
          </w:p>
        </w:tc>
        <w:tc>
          <w:tcPr>
            <w:tcW w:type="dxa" w:w="1530"/>
          </w:tcPr>
          <w:p>
            <w:r>
              <w:t>96.2%</w:t>
            </w:r>
          </w:p>
        </w:tc>
        <w:tc>
          <w:tcPr>
            <w:tcW w:type="dxa" w:w="1530"/>
          </w:tcPr>
          <w:p>
            <w:r>
              <w:t>96.2%</w:t>
            </w:r>
          </w:p>
        </w:tc>
        <w:tc>
          <w:tcPr>
            <w:tcW w:type="dxa" w:w="1530"/>
          </w:tcPr>
          <w:p>
            <w:r>
              <w:t>96.2%</w:t>
            </w:r>
          </w:p>
        </w:tc>
        <w:tc>
          <w:tcPr>
            <w:tcW w:type="dxa" w:w="1530"/>
          </w:tcPr>
          <w:p>
            <w:r>
              <w:t>0%</w:t>
            </w:r>
          </w:p>
        </w:tc>
      </w:tr>
      <w:tr>
        <w:tc>
          <w:tcPr>
            <w:tcW w:type="dxa" w:w="1530"/>
          </w:tcPr>
          <w:p>
            <w:r>
              <w:t>职安盾混合链</w:t>
            </w:r>
          </w:p>
        </w:tc>
        <w:tc>
          <w:tcPr>
            <w:tcW w:type="dxa" w:w="1530"/>
          </w:tcPr>
          <w:p>
            <w:r>
              <w:t>32 条成功样本</w:t>
            </w:r>
          </w:p>
        </w:tc>
        <w:tc>
          <w:tcPr>
            <w:tcW w:type="dxa" w:w="1530"/>
          </w:tcPr>
          <w:p>
            <w:r>
              <w:t>96.2%</w:t>
            </w:r>
          </w:p>
        </w:tc>
        <w:tc>
          <w:tcPr>
            <w:tcW w:type="dxa" w:w="1530"/>
          </w:tcPr>
          <w:p>
            <w:r>
              <w:t>96.2%</w:t>
            </w:r>
          </w:p>
        </w:tc>
        <w:tc>
          <w:tcPr>
            <w:tcW w:type="dxa" w:w="1530"/>
          </w:tcPr>
          <w:p>
            <w:r>
              <w:t>96.2%</w:t>
            </w:r>
          </w:p>
        </w:tc>
        <w:tc>
          <w:tcPr>
            <w:tcW w:type="dxa" w:w="1530"/>
          </w:tcPr>
          <w:p>
            <w:r>
              <w:t>100%</w:t>
            </w:r>
          </w:p>
        </w:tc>
      </w:tr>
    </w:tbl>
    <w:p>
      <w:pPr>
        <w:spacing w:line="360" w:lineRule="auto"/>
      </w:pPr>
      <w:r>
        <w:t>V4-Pro 另有 8 条请求因账户余额不足失败，未计入模型成绩。该失败记录被保留，用于说明实验边界。</w:t>
      </w:r>
    </w:p>
    <w:p>
      <w:r>
        <w:rPr>
          <w:b/>
          <w:sz w:val="28"/>
        </w:rPr>
        <w:t>九、应用价值</w:t>
      </w:r>
    </w:p>
    <w:p>
      <w:pPr>
        <w:pStyle w:val="ListBullet"/>
        <w:spacing w:line="324" w:lineRule="auto"/>
      </w:pPr>
      <w:r>
        <w:t>可作为高校就业指导中心的合同自查和普法工具。</w:t>
      </w:r>
    </w:p>
    <w:p>
      <w:pPr>
        <w:pStyle w:val="ListBullet"/>
        <w:spacing w:line="324" w:lineRule="auto"/>
      </w:pPr>
      <w:r>
        <w:t>可扩展至实习、兼职、灵活用工和劳动争议材料整理。</w:t>
      </w:r>
    </w:p>
    <w:p>
      <w:pPr>
        <w:pStyle w:val="ListBullet"/>
        <w:spacing w:line="324" w:lineRule="auto"/>
      </w:pPr>
      <w:r>
        <w:t>可与地方政策包结合，逐步适应不同城市。</w:t>
      </w:r>
    </w:p>
    <w:p>
      <w:pPr>
        <w:pStyle w:val="ListBullet"/>
        <w:spacing w:line="324" w:lineRule="auto"/>
      </w:pPr>
      <w:r>
        <w:t>可转化为就业权益教育课程和典型案例库。</w:t>
      </w:r>
    </w:p>
    <w:p>
      <w:r>
        <w:rPr>
          <w:b/>
          <w:sz w:val="28"/>
        </w:rPr>
        <w:t>十、合规边界</w:t>
      </w:r>
    </w:p>
    <w:p>
      <w:pPr>
        <w:spacing w:line="360" w:lineRule="auto"/>
      </w:pPr>
      <w:r>
        <w:t>本系统用于竞赛展示、普法教育和材料整理，不替代律师、仲裁机构或人社部门作出最终法律判断。地方最低工资、社保缴费等动态标准必须核验官方最新来源。所有真实用户材料必须获得授权并完成去标识化。</w:t>
      </w:r>
    </w:p>
    <w:p>
      <w:r>
        <w:rPr>
          <w:b/>
          <w:sz w:val="28"/>
        </w:rPr>
        <w:t>十一、团队贡献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成员</w:t>
            </w:r>
          </w:p>
        </w:tc>
        <w:tc>
          <w:tcPr>
            <w:tcW w:type="dxa" w:w="3060"/>
          </w:tcPr>
          <w:p>
            <w:r>
              <w:t>负责内容</w:t>
            </w:r>
          </w:p>
        </w:tc>
        <w:tc>
          <w:tcPr>
            <w:tcW w:type="dxa" w:w="3060"/>
          </w:tcPr>
          <w:p>
            <w:r>
              <w:t>主要成果</w:t>
            </w:r>
          </w:p>
        </w:tc>
      </w:tr>
      <w:tr>
        <w:tc>
          <w:tcPr>
            <w:tcW w:type="dxa" w:w="3060"/>
          </w:tcPr>
          <w:p>
            <w:r>
              <w:t>【待填写】</w:t>
            </w:r>
          </w:p>
        </w:tc>
        <w:tc>
          <w:tcPr>
            <w:tcW w:type="dxa" w:w="3060"/>
          </w:tcPr>
          <w:p>
            <w:r>
              <w:t>需求调研与项目管理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</w:tr>
      <w:tr>
        <w:tc>
          <w:tcPr>
            <w:tcW w:type="dxa" w:w="3060"/>
          </w:tcPr>
          <w:p>
            <w:r>
              <w:t>【待填写】</w:t>
            </w:r>
          </w:p>
        </w:tc>
        <w:tc>
          <w:tcPr>
            <w:tcW w:type="dxa" w:w="3060"/>
          </w:tcPr>
          <w:p>
            <w:r>
              <w:t>前端与交互设计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</w:tr>
      <w:tr>
        <w:tc>
          <w:tcPr>
            <w:tcW w:type="dxa" w:w="3060"/>
          </w:tcPr>
          <w:p>
            <w:r>
              <w:t>【待填写】</w:t>
            </w:r>
          </w:p>
        </w:tc>
        <w:tc>
          <w:tcPr>
            <w:tcW w:type="dxa" w:w="3060"/>
          </w:tcPr>
          <w:p>
            <w:r>
              <w:t>后端与数据治理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</w:tr>
      <w:tr>
        <w:tc>
          <w:tcPr>
            <w:tcW w:type="dxa" w:w="3060"/>
          </w:tcPr>
          <w:p>
            <w:r>
              <w:t>【待填写】</w:t>
            </w:r>
          </w:p>
        </w:tc>
        <w:tc>
          <w:tcPr>
            <w:tcW w:type="dxa" w:w="3060"/>
          </w:tcPr>
          <w:p>
            <w:r>
              <w:t>模型与评测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</w:tr>
      <w:tr>
        <w:tc>
          <w:tcPr>
            <w:tcW w:type="dxa" w:w="3060"/>
          </w:tcPr>
          <w:p>
            <w:r>
              <w:t>【待填写】</w:t>
            </w:r>
          </w:p>
        </w:tc>
        <w:tc>
          <w:tcPr>
            <w:tcW w:type="dxa" w:w="3060"/>
          </w:tcPr>
          <w:p>
            <w:r>
              <w:t>材料与视频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</w:tr>
    </w:tbl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