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 Crash Hedge &amp; Deployment Plan</w:t>
      </w:r>
    </w:p>
    <w:p>
      <w:pPr>
        <w:jc w:val="center"/>
      </w:pPr>
      <w:r>
        <w:rPr>
          <w:b/>
          <w:sz w:val="22"/>
        </w:rPr>
        <w:t>Prepared 22 August 2026 | Working strategy for rapid reassessment and action</w:t>
      </w:r>
    </w:p>
    <w:p>
      <w:pPr>
        <w:jc w:val="center"/>
      </w:pPr>
      <w:r>
        <w:t>Purpose: have the decisions, instruments and escalation logic ready before a disorderly market move. No allocation is automatic; every action must be rechecked against live conditions before execution.</w:t>
      </w:r>
    </w:p>
    <w:p>
      <w:pPr>
        <w:pStyle w:val="Heading1"/>
      </w:pPr>
      <w:r>
        <w:t>1. Core Philosophy</w:t>
      </w:r>
    </w:p>
    <w:p>
      <w:pPr>
        <w:pStyle w:val="ListBullet"/>
      </w:pPr>
      <w:r>
        <w:t>The objective is preparation, not prediction. The working concern is that market fragility may culminate in a severe correction or crash, but neither the timing nor the trigger is known.</w:t>
      </w:r>
    </w:p>
    <w:p>
      <w:pPr>
        <w:pStyle w:val="ListBullet"/>
      </w:pPr>
      <w:r>
        <w:t>The plan deliberately separates a carryable pre-crash hedge from tactical instruments used only after deterioration is confirmed.</w:t>
      </w:r>
    </w:p>
    <w:p>
      <w:pPr>
        <w:pStyle w:val="ListBullet"/>
      </w:pPr>
      <w:r>
        <w:t>Cash is not idle capital in this framework. It is strategic ammunition intended to preserve purchasing power and allow rapid deployment into high-quality assets after forced selling.</w:t>
      </w:r>
    </w:p>
    <w:p>
      <w:pPr>
        <w:pStyle w:val="ListBullet"/>
      </w:pPr>
      <w:r>
        <w:t>No target allocation below is a pre-commitment. Percentages are reference ranges to be reconsidered from scratch using live macro, market, portfolio and instrument data.</w:t>
      </w:r>
    </w:p>
    <w:p>
      <w:pPr>
        <w:pStyle w:val="Heading1"/>
      </w:pPr>
      <w:r>
        <w:t>2. The Three Main Tools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Tool</w:t>
            </w:r>
          </w:p>
        </w:tc>
        <w:tc>
          <w:tcPr>
            <w:tcW w:type="dxa" w:w="2520"/>
          </w:tcPr>
          <w:p>
            <w:r>
              <w:t>Role</w:t>
            </w:r>
          </w:p>
        </w:tc>
        <w:tc>
          <w:tcPr>
            <w:tcW w:type="dxa" w:w="2520"/>
          </w:tcPr>
          <w:p>
            <w:r>
              <w:t>Why it is useful</w:t>
            </w:r>
          </w:p>
        </w:tc>
        <w:tc>
          <w:tcPr>
            <w:tcW w:type="dxa" w:w="2520"/>
          </w:tcPr>
          <w:p>
            <w:r>
              <w:t>Main risk</w:t>
            </w:r>
          </w:p>
        </w:tc>
      </w:tr>
      <w:tr>
        <w:tc>
          <w:tcPr>
            <w:tcW w:type="dxa" w:w="2520"/>
            <w:vAlign w:val="top"/>
          </w:tcPr>
          <w:p>
            <w:r>
              <w:t>BTAL</w:t>
            </w:r>
          </w:p>
        </w:tc>
        <w:tc>
          <w:tcPr>
            <w:tcW w:type="dxa" w:w="2520"/>
            <w:vAlign w:val="top"/>
          </w:tcPr>
          <w:p>
            <w:r>
              <w:t>Carryable risk-regime hedge</w:t>
            </w:r>
          </w:p>
        </w:tc>
        <w:tc>
          <w:tcPr>
            <w:tcW w:type="dxa" w:w="2520"/>
            <w:vAlign w:val="top"/>
          </w:tcPr>
          <w:p>
            <w:r>
              <w:t>Long lower-beta US equities and short higher-beta US equities. Can benefit when speculative/high-beta leadership reverses without requiring the whole market to fall immediately.</w:t>
            </w:r>
          </w:p>
        </w:tc>
        <w:tc>
          <w:tcPr>
            <w:tcW w:type="dxa" w:w="2520"/>
            <w:vAlign w:val="top"/>
          </w:tcPr>
          <w:p>
            <w:r>
              <w:t>Not a direct AI short. Can lose materially if high-beta leadership continues.</w:t>
            </w:r>
          </w:p>
        </w:tc>
      </w:tr>
      <w:tr>
        <w:tc>
          <w:tcPr>
            <w:tcW w:type="dxa" w:w="2520"/>
            <w:vAlign w:val="top"/>
          </w:tcPr>
          <w:p>
            <w:r>
              <w:t>AIBD</w:t>
            </w:r>
          </w:p>
        </w:tc>
        <w:tc>
          <w:tcPr>
            <w:tcW w:type="dxa" w:w="2520"/>
            <w:vAlign w:val="top"/>
          </w:tcPr>
          <w:p>
            <w:r>
              <w:t>Tactical AI-bubble short</w:t>
            </w:r>
          </w:p>
        </w:tc>
        <w:tc>
          <w:tcPr>
            <w:tcW w:type="dxa" w:w="2520"/>
            <w:vAlign w:val="top"/>
          </w:tcPr>
          <w:p>
            <w:r>
              <w:t>Targets approximately -2x the DAILY return of a US AI &amp; Big Data index. Directly exposed to a broad AI complex including semiconductors, software, IT services and large technology names.</w:t>
            </w:r>
          </w:p>
        </w:tc>
        <w:tc>
          <w:tcPr>
            <w:tcW w:type="dxa" w:w="2520"/>
            <w:vAlign w:val="top"/>
          </w:tcPr>
          <w:p>
            <w:r>
              <w:t>Daily reset creates path dependence and volatility decay. A violent AI rebound can cause very large daily losses.</w:t>
            </w:r>
          </w:p>
        </w:tc>
      </w:tr>
      <w:tr>
        <w:tc>
          <w:tcPr>
            <w:tcW w:type="dxa" w:w="2520"/>
            <w:vAlign w:val="top"/>
          </w:tcPr>
          <w:p>
            <w:r>
              <w:t>Cash / very short-duration Treasury exposure</w:t>
            </w:r>
          </w:p>
        </w:tc>
        <w:tc>
          <w:tcPr>
            <w:tcW w:type="dxa" w:w="2520"/>
            <w:vAlign w:val="top"/>
          </w:tcPr>
          <w:p>
            <w:r>
              <w:t>Capital preservation and dry powder</w:t>
            </w:r>
          </w:p>
        </w:tc>
        <w:tc>
          <w:tcPr>
            <w:tcW w:type="dxa" w:w="2520"/>
            <w:vAlign w:val="top"/>
          </w:tcPr>
          <w:p>
            <w:r>
              <w:t>Keeps capital available for post-crash buying and avoids relying on the direction of equities or long-duration bonds.</w:t>
            </w:r>
          </w:p>
        </w:tc>
        <w:tc>
          <w:tcPr>
            <w:tcW w:type="dxa" w:w="2520"/>
            <w:vAlign w:val="top"/>
          </w:tcPr>
          <w:p>
            <w:r>
              <w:t>Opportunity cost if risk assets continue rising strongly.</w:t>
            </w:r>
          </w:p>
        </w:tc>
      </w:tr>
    </w:tbl>
    <w:p>
      <w:pPr>
        <w:pStyle w:val="Heading1"/>
      </w:pPr>
      <w:r>
        <w:t>3. BTAL - What It Actually Does</w:t>
      </w:r>
    </w:p>
    <w:p>
      <w:r>
        <w:t>BTAL (AGF U.S. Market Neutral Anti-Beta Fund) is not an inverse S&amp;P 500 ETF and is not specifically an AI short. Its basic trade is to own lower-beta stocks and short higher-beta stocks while broadly controlling sector exposure.</w:t>
      </w:r>
    </w:p>
    <w:p>
      <w:r>
        <w:t>Simple mental model: if lower-beta stocks fall 10% while higher-beta stocks fall 35%, the long book loses but the short book gains much more. The performance spread can therefore be strongly positive even though the overall equity market is falling.</w:t>
      </w:r>
    </w:p>
    <w:p>
      <w:r>
        <w:t>The portfolio is highly diversified and changes rapidly. Recent analysis showed roughly 200 names on each side and very high turnover. Because the strategy is beta-driven rather than valuation- or AI-driven, individual technology/growth companies can appear on the long side. Therefore BTAL should be treated as a broad risk-appetite reversal hedge, not as a pure AI-bubble hedge.</w:t>
      </w:r>
    </w:p>
    <w:p>
      <w:pPr>
        <w:pStyle w:val="Heading1"/>
      </w:pPr>
      <w:r>
        <w:t>4. BTAL Current Price Structure - Reference Levels</w:t>
      </w:r>
    </w:p>
    <w:tbl>
      <w:tblPr>
        <w:tblStyle w:val="TableGrid"/>
        <w:tblW w:type="auto" w:w="0"/>
        <w:jc w:val="center"/>
        <w:tblLook w:firstColumn="1" w:firstRow="1" w:lastColumn="0" w:lastRow="0" w:noHBand="0" w:noVBand="1" w:val="04A0"/>
      </w:tblPr>
      <w:tblGrid>
        <w:gridCol w:w="5040"/>
        <w:gridCol w:w="5040"/>
      </w:tblGrid>
      <w:tr>
        <w:tc>
          <w:tcPr>
            <w:tcW w:type="dxa" w:w="5040"/>
          </w:tcPr>
          <w:p>
            <w:r>
              <w:t>Reference level</w:t>
            </w:r>
          </w:p>
        </w:tc>
        <w:tc>
          <w:tcPr>
            <w:tcW w:type="dxa" w:w="5040"/>
          </w:tcPr>
          <w:p>
            <w:r>
              <w:t>Working interpretation</w:t>
            </w:r>
          </w:p>
        </w:tc>
      </w:tr>
      <w:tr>
        <w:tc>
          <w:tcPr>
            <w:tcW w:type="dxa" w:w="5040"/>
          </w:tcPr>
          <w:p>
            <w:r>
              <w:t>$10.90-$11.10</w:t>
            </w:r>
          </w:p>
        </w:tc>
        <w:tc>
          <w:tcPr>
            <w:tcW w:type="dxa" w:w="5040"/>
          </w:tcPr>
          <w:p>
            <w:r>
              <w:t>Major floor / June 2026 low area</w:t>
            </w:r>
          </w:p>
        </w:tc>
      </w:tr>
      <w:tr>
        <w:tc>
          <w:tcPr>
            <w:tcW w:type="dxa" w:w="5040"/>
          </w:tcPr>
          <w:p>
            <w:r>
              <w:t>$11.50-$11.70</w:t>
            </w:r>
          </w:p>
        </w:tc>
        <w:tc>
          <w:tcPr>
            <w:tcW w:type="dxa" w:w="5040"/>
          </w:tcPr>
          <w:p>
            <w:r>
              <w:t>Stronger accumulation area if the macro thesis remains intact</w:t>
            </w:r>
          </w:p>
        </w:tc>
      </w:tr>
      <w:tr>
        <w:tc>
          <w:tcPr>
            <w:tcW w:type="dxa" w:w="5040"/>
          </w:tcPr>
          <w:p>
            <w:r>
              <w:t>$11.75-$11.85</w:t>
            </w:r>
          </w:p>
        </w:tc>
        <w:tc>
          <w:tcPr>
            <w:tcW w:type="dxa" w:w="5040"/>
          </w:tcPr>
          <w:p>
            <w:r>
              <w:t>Near-term support</w:t>
            </w:r>
          </w:p>
        </w:tc>
      </w:tr>
      <w:tr>
        <w:tc>
          <w:tcPr>
            <w:tcW w:type="dxa" w:w="5040"/>
          </w:tcPr>
          <w:p>
            <w:r>
              <w:t>~$12.00-$12.10</w:t>
            </w:r>
          </w:p>
        </w:tc>
        <w:tc>
          <w:tcPr>
            <w:tcW w:type="dxa" w:w="5040"/>
          </w:tcPr>
          <w:p>
            <w:r>
              <w:t>Area previously judged acceptable for an initial hedge</w:t>
            </w:r>
          </w:p>
        </w:tc>
      </w:tr>
      <w:tr>
        <w:tc>
          <w:tcPr>
            <w:tcW w:type="dxa" w:w="5040"/>
          </w:tcPr>
          <w:p>
            <w:r>
              <w:t>~$12.30</w:t>
            </w:r>
          </w:p>
        </w:tc>
        <w:tc>
          <w:tcPr>
            <w:tcW w:type="dxa" w:w="5040"/>
          </w:tcPr>
          <w:p>
            <w:r>
              <w:t>Minor resistance</w:t>
            </w:r>
          </w:p>
        </w:tc>
      </w:tr>
      <w:tr>
        <w:tc>
          <w:tcPr>
            <w:tcW w:type="dxa" w:w="5040"/>
          </w:tcPr>
          <w:p>
            <w:r>
              <w:t>$12.65-$12.70</w:t>
            </w:r>
          </w:p>
        </w:tc>
        <w:tc>
          <w:tcPr>
            <w:tcW w:type="dxa" w:w="5040"/>
          </w:tcPr>
          <w:p>
            <w:r>
              <w:t>Important breakout area; a convincing break could indicate a regime shift</w:t>
            </w:r>
          </w:p>
        </w:tc>
      </w:tr>
      <w:tr>
        <w:tc>
          <w:tcPr>
            <w:tcW w:type="dxa" w:w="5040"/>
          </w:tcPr>
          <w:p>
            <w:r>
              <w:t>$14+</w:t>
            </w:r>
          </w:p>
        </w:tc>
        <w:tc>
          <w:tcPr>
            <w:tcW w:type="dxa" w:w="5040"/>
          </w:tcPr>
          <w:p>
            <w:r>
              <w:t>Would be consistent with a materially stronger risk-off / anti-beta rotation</w:t>
            </w:r>
          </w:p>
        </w:tc>
      </w:tr>
    </w:tbl>
    <w:p>
      <w:r>
        <w:t>These are reference levels, not standing orders. They must be refreshed against the live chart before any trade.</w:t>
      </w:r>
    </w:p>
    <w:p>
      <w:pPr>
        <w:pStyle w:val="Heading1"/>
      </w:pPr>
      <w:r>
        <w:t>5. AIBD - Daily Reset Explained</w:t>
      </w:r>
    </w:p>
    <w:p>
      <w:r>
        <w:t>AIBD targets approximately -2x the return of its underlying AI index for EACH TRADING DAY. It does not promise -2x the cumulative return over a week, month or six months.</w:t>
      </w:r>
    </w:p>
    <w:p>
      <w:r>
        <w:t>If the AI index falls persistently day after day, daily compounding can be highly favourable: each day's leveraged gain is applied to a larger AIBD balance. If the AI index whipsaws sharply up and down, compounding can work against the holder.</w:t>
      </w:r>
    </w:p>
    <w:p>
      <w:r>
        <w:t>Example: AI -10% on Day 1 implies roughly AIBD +20%. If AI then rebounds +10% on Day 2, AIBD is roughly -20% on the now-larger balance. $50,000 would become about $60,000 and then $48,000. This illustrates volatility decay/path dependence.</w:t>
      </w:r>
    </w:p>
    <w:p>
      <w:r>
        <w:t>Therefore AIBD is not a 'buy now and wait indefinitely' hedge. It is potentially very powerful once a sustained AI/high-beta breakdown is actually under way.</w:t>
      </w:r>
    </w:p>
    <w:p>
      <w:pPr>
        <w:pStyle w:val="Heading1"/>
      </w:pPr>
      <w:r>
        <w:t>6. Escalation Playbook</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Stage</w:t>
            </w:r>
          </w:p>
        </w:tc>
        <w:tc>
          <w:tcPr>
            <w:tcW w:type="dxa" w:w="2016"/>
          </w:tcPr>
          <w:p>
            <w:r>
              <w:t>Market state</w:t>
            </w:r>
          </w:p>
        </w:tc>
        <w:tc>
          <w:tcPr>
            <w:tcW w:type="dxa" w:w="2016"/>
          </w:tcPr>
          <w:p>
            <w:r>
              <w:t>BTAL</w:t>
            </w:r>
          </w:p>
        </w:tc>
        <w:tc>
          <w:tcPr>
            <w:tcW w:type="dxa" w:w="2016"/>
          </w:tcPr>
          <w:p>
            <w:r>
              <w:t>AIBD</w:t>
            </w:r>
          </w:p>
        </w:tc>
        <w:tc>
          <w:tcPr>
            <w:tcW w:type="dxa" w:w="2016"/>
          </w:tcPr>
          <w:p>
            <w:r>
              <w:t>Primary objective</w:t>
            </w:r>
          </w:p>
        </w:tc>
      </w:tr>
      <w:tr>
        <w:tc>
          <w:tcPr>
            <w:tcW w:type="dxa" w:w="2016"/>
          </w:tcPr>
          <w:p>
            <w:r>
              <w:t>0 - Watch</w:t>
            </w:r>
          </w:p>
        </w:tc>
        <w:tc>
          <w:tcPr>
            <w:tcW w:type="dxa" w:w="2016"/>
          </w:tcPr>
          <w:p>
            <w:r>
              <w:t>Fragility elevated but no material deterioration confirmed</w:t>
            </w:r>
          </w:p>
        </w:tc>
        <w:tc>
          <w:tcPr>
            <w:tcW w:type="dxa" w:w="2016"/>
          </w:tcPr>
          <w:p>
            <w:r>
              <w:t>No automatic action</w:t>
            </w:r>
          </w:p>
        </w:tc>
        <w:tc>
          <w:tcPr>
            <w:tcW w:type="dxa" w:w="2016"/>
          </w:tcPr>
          <w:p>
            <w:r>
              <w:t>None</w:t>
            </w:r>
          </w:p>
        </w:tc>
        <w:tc>
          <w:tcPr>
            <w:tcW w:type="dxa" w:w="2016"/>
          </w:tcPr>
          <w:p>
            <w:r>
              <w:t>Preserve cash; monitor</w:t>
            </w:r>
          </w:p>
        </w:tc>
      </w:tr>
      <w:tr>
        <w:tc>
          <w:tcPr>
            <w:tcW w:type="dxa" w:w="2016"/>
          </w:tcPr>
          <w:p>
            <w:r>
              <w:t>1 - Deterioration</w:t>
            </w:r>
          </w:p>
        </w:tc>
        <w:tc>
          <w:tcPr>
            <w:tcW w:type="dxa" w:w="2016"/>
          </w:tcPr>
          <w:p>
            <w:r>
              <w:t>Macro/fragility signals worsen materially</w:t>
            </w:r>
          </w:p>
        </w:tc>
        <w:tc>
          <w:tcPr>
            <w:tcW w:type="dxa" w:w="2016"/>
          </w:tcPr>
          <w:p>
            <w:r>
              <w:t>Reassess an initial ~5% hedge</w:t>
            </w:r>
          </w:p>
        </w:tc>
        <w:tc>
          <w:tcPr>
            <w:tcW w:type="dxa" w:w="2016"/>
          </w:tcPr>
          <w:p>
            <w:r>
              <w:t>Prepare only</w:t>
            </w:r>
          </w:p>
        </w:tc>
        <w:tc>
          <w:tcPr>
            <w:tcW w:type="dxa" w:w="2016"/>
          </w:tcPr>
          <w:p>
            <w:r>
              <w:t>Add protection without needing perfect timing</w:t>
            </w:r>
          </w:p>
        </w:tc>
      </w:tr>
      <w:tr>
        <w:tc>
          <w:tcPr>
            <w:tcW w:type="dxa" w:w="2016"/>
          </w:tcPr>
          <w:p>
            <w:r>
              <w:t>2 - Pre-crash / severe fragility</w:t>
            </w:r>
          </w:p>
        </w:tc>
        <w:tc>
          <w:tcPr>
            <w:tcW w:type="dxa" w:w="2016"/>
          </w:tcPr>
          <w:p>
            <w:r>
              <w:t>Multiple warning signals align; high-beta leadership weakens</w:t>
            </w:r>
          </w:p>
        </w:tc>
        <w:tc>
          <w:tcPr>
            <w:tcW w:type="dxa" w:w="2016"/>
          </w:tcPr>
          <w:p>
            <w:r>
              <w:t>Reassess increase towards ~10% total</w:t>
            </w:r>
          </w:p>
        </w:tc>
        <w:tc>
          <w:tcPr>
            <w:tcW w:type="dxa" w:w="2016"/>
          </w:tcPr>
          <w:p>
            <w:r>
              <w:t>Move to immediate-action board</w:t>
            </w:r>
          </w:p>
        </w:tc>
        <w:tc>
          <w:tcPr>
            <w:tcW w:type="dxa" w:w="2016"/>
          </w:tcPr>
          <w:p>
            <w:r>
              <w:t>Be ready for rapid execution</w:t>
            </w:r>
          </w:p>
        </w:tc>
      </w:tr>
      <w:tr>
        <w:tc>
          <w:tcPr>
            <w:tcW w:type="dxa" w:w="2016"/>
          </w:tcPr>
          <w:p>
            <w:r>
              <w:t>3 - Break confirmed</w:t>
            </w:r>
          </w:p>
        </w:tc>
        <w:tc>
          <w:tcPr>
            <w:tcW w:type="dxa" w:w="2016"/>
          </w:tcPr>
          <w:p>
            <w:r>
              <w:t>AI/high-beta complex confirms breakdown alongside broader fragility</w:t>
            </w:r>
          </w:p>
        </w:tc>
        <w:tc>
          <w:tcPr>
            <w:tcW w:type="dxa" w:w="2016"/>
          </w:tcPr>
          <w:p>
            <w:r>
              <w:t>Maintain/reassess</w:t>
            </w:r>
          </w:p>
        </w:tc>
        <w:tc>
          <w:tcPr>
            <w:tcW w:type="dxa" w:w="2016"/>
          </w:tcPr>
          <w:p>
            <w:r>
              <w:t>Assess initial tactical position, potentially ~5-10%</w:t>
            </w:r>
          </w:p>
        </w:tc>
        <w:tc>
          <w:tcPr>
            <w:tcW w:type="dxa" w:w="2016"/>
          </w:tcPr>
          <w:p>
            <w:r>
              <w:t>Capture early phase of unwind</w:t>
            </w:r>
          </w:p>
        </w:tc>
      </w:tr>
      <w:tr>
        <w:tc>
          <w:tcPr>
            <w:tcW w:type="dxa" w:w="2016"/>
          </w:tcPr>
          <w:p>
            <w:r>
              <w:t>4 - Persistent liquidation</w:t>
            </w:r>
          </w:p>
        </w:tc>
        <w:tc>
          <w:tcPr>
            <w:tcW w:type="dxa" w:w="2016"/>
          </w:tcPr>
          <w:p>
            <w:r>
              <w:t>Downtrend persists; failed rebounds; selling broadens</w:t>
            </w:r>
          </w:p>
        </w:tc>
        <w:tc>
          <w:tcPr>
            <w:tcW w:type="dxa" w:w="2016"/>
          </w:tcPr>
          <w:p>
            <w:r>
              <w:t>Reassess continuously</w:t>
            </w:r>
          </w:p>
        </w:tc>
        <w:tc>
          <w:tcPr>
            <w:tcW w:type="dxa" w:w="2016"/>
          </w:tcPr>
          <w:p>
            <w:r>
              <w:t>May scale materially; 15-20% is an indicative ceiling for consideration, never an automatic target</w:t>
            </w:r>
          </w:p>
        </w:tc>
        <w:tc>
          <w:tcPr>
            <w:tcW w:type="dxa" w:w="2016"/>
          </w:tcPr>
          <w:p>
            <w:r>
              <w:t>Exploit favourable -2x daily compounding</w:t>
            </w:r>
          </w:p>
        </w:tc>
      </w:tr>
      <w:tr>
        <w:tc>
          <w:tcPr>
            <w:tcW w:type="dxa" w:w="2016"/>
          </w:tcPr>
          <w:p>
            <w:r>
              <w:t>5 - Capitulation / recovery</w:t>
            </w:r>
          </w:p>
        </w:tc>
        <w:tc>
          <w:tcPr>
            <w:tcW w:type="dxa" w:w="2016"/>
          </w:tcPr>
          <w:p>
            <w:r>
              <w:t>Crash matures, policy response/reversal risk rises, quality assets become distressed</w:t>
            </w:r>
          </w:p>
        </w:tc>
        <w:tc>
          <w:tcPr>
            <w:tcW w:type="dxa" w:w="2016"/>
          </w:tcPr>
          <w:p>
            <w:r>
              <w:t>Monetise progressively</w:t>
            </w:r>
          </w:p>
        </w:tc>
        <w:tc>
          <w:tcPr>
            <w:tcW w:type="dxa" w:w="2016"/>
          </w:tcPr>
          <w:p>
            <w:r>
              <w:t>Reduce/exit aggressively as thesis changes</w:t>
            </w:r>
          </w:p>
        </w:tc>
        <w:tc>
          <w:tcPr>
            <w:tcW w:type="dxa" w:w="2016"/>
          </w:tcPr>
          <w:p>
            <w:r>
              <w:t>Convert hedge gains and cash into long-term opportunities</w:t>
            </w:r>
          </w:p>
        </w:tc>
      </w:tr>
    </w:tbl>
    <w:p>
      <w:pPr>
        <w:pStyle w:val="Heading1"/>
      </w:pPr>
      <w:r>
        <w:t>7. Conditions Required Before Activating AIBD</w:t>
      </w:r>
    </w:p>
    <w:p>
      <w:r>
        <w:t>A bad macro score alone is insufficient. AIBD should require confirmation from the assets being shorted. Before entry, recheck the following live evidence:</w:t>
      </w:r>
    </w:p>
    <w:p>
      <w:pPr>
        <w:pStyle w:val="ListBullet"/>
      </w:pPr>
      <w:r>
        <w:t>AI/high-beta relative performance is breaking down, not merely experiencing an ordinary one-day pullback.</w:t>
      </w:r>
    </w:p>
    <w:p>
      <w:pPr>
        <w:pStyle w:val="ListBullet"/>
      </w:pPr>
      <w:r>
        <w:t>Important support levels have failed and attempted rebounds are being sold.</w:t>
      </w:r>
    </w:p>
    <w:p>
      <w:pPr>
        <w:pStyle w:val="ListBullet"/>
      </w:pPr>
      <w:r>
        <w:t>Breadth within the AI/semiconductor/AI-infrastructure complex is deteriorating.</w:t>
      </w:r>
    </w:p>
    <w:p>
      <w:pPr>
        <w:pStyle w:val="ListBullet"/>
      </w:pPr>
      <w:r>
        <w:t>Broader fragility indicators are consistent with the move: volatility, credit, rates, dispersion, liquidity and market breadth should be reassessed.</w:t>
      </w:r>
    </w:p>
    <w:p>
      <w:pPr>
        <w:pStyle w:val="ListBullet"/>
      </w:pPr>
      <w:r>
        <w:t>AIBD's current underlying index composition still matches the intended AI-bubble short thesis.</w:t>
      </w:r>
    </w:p>
    <w:p>
      <w:pPr>
        <w:pStyle w:val="ListBullet"/>
      </w:pPr>
      <w:r>
        <w:t>AIBD liquidity, spread, volume and current chart are acceptable.</w:t>
      </w:r>
    </w:p>
    <w:p>
      <w:pPr>
        <w:pStyle w:val="ListBullet"/>
      </w:pPr>
      <w:r>
        <w:t>Portfolio-level loss from a sharp one-day AI rebound is tolerable at the proposed size.</w:t>
      </w:r>
    </w:p>
    <w:p>
      <w:pPr>
        <w:pStyle w:val="Heading1"/>
      </w:pPr>
      <w:r>
        <w:t>8. Position-Sizing Discipline</w:t>
      </w:r>
    </w:p>
    <w:p>
      <w:r>
        <w:t>The percentages discussed are decision frameworks, not instructions. In particular, 20% AIBD would be a very large tactical position: because AIBD targets -2x daily exposure, a 20% NAV allocation begins with roughly 40% NAV of inverse AI-index sensitivity before compounding effects.</w:t>
      </w:r>
    </w:p>
    <w:p>
      <w:r>
        <w:t>Illustratively, if the AI index rose 10% in a day, AIBD could lose roughly 20%, creating an approximately 4% NAV loss from a 20% fund allocation in a single day. Conversely, a 10% AI-index fall could contribute roughly +4% to NAV. Actual results can differ because of tracking, fees and compounding.</w:t>
      </w:r>
    </w:p>
    <w:p>
      <w:r>
        <w:t>For this reason, any sizeable AIBD deployment must be sized using the live portfolio, live volatility and acceptable one-day loss at the time of entry.</w:t>
      </w:r>
    </w:p>
    <w:p>
      <w:pPr>
        <w:pStyle w:val="Heading1"/>
      </w:pPr>
      <w:r>
        <w:t>9. Instruments Explicitly Rejected as Long Waiting Vehicles</w:t>
      </w:r>
    </w:p>
    <w:p>
      <w:pPr>
        <w:pStyle w:val="ListBullet"/>
      </w:pPr>
      <w:r>
        <w:t>SOXS (-3x daily semiconductors): potentially powerful once a collapse is under way, but unsuitable as a long waiting hedge because daily leverage and volatility can destroy capital while timing remains uncertain.</w:t>
      </w:r>
    </w:p>
    <w:p>
      <w:pPr>
        <w:pStyle w:val="ListBullet"/>
      </w:pPr>
      <w:r>
        <w:t>SSG (-2x daily semiconductors): less extreme than SOXS but retains the same path-dependence problem.</w:t>
      </w:r>
    </w:p>
    <w:p>
      <w:pPr>
        <w:pStyle w:val="ListBullet"/>
      </w:pPr>
      <w:r>
        <w:t>Long-duration Treasuries as the primary hedge: unsuitable if rising long-term yields themselves are the cause of the equity sell-off.</w:t>
      </w:r>
    </w:p>
    <w:p>
      <w:pPr>
        <w:pStyle w:val="ListBullet"/>
      </w:pPr>
      <w:r>
        <w:t>A large permanent inverse-S&amp;P position: too timing-sensitive while the crash window remains uncertain.</w:t>
      </w:r>
    </w:p>
    <w:p>
      <w:pPr>
        <w:pStyle w:val="Heading1"/>
      </w:pPr>
      <w:r>
        <w:t>10. Optional / Complementary Hedge</w:t>
      </w:r>
    </w:p>
    <w:p>
      <w:r>
        <w:t>A long-dated SMH bear put spread remains a complementary idea for direct semiconductor/AI-infrastructure downside with a known maximum premium loss and no daily ETF reset. It is not part of the automatic escalation ladder. If considered, strikes, expiry, premium, breakeven and scenario returns must be priced from the live options market.</w:t>
      </w:r>
    </w:p>
    <w:p>
      <w:pPr>
        <w:pStyle w:val="Heading1"/>
      </w:pPr>
      <w:r>
        <w:t>11. Crash-Day Operating Checklist</w:t>
      </w:r>
    </w:p>
    <w:p>
      <w:pPr>
        <w:pStyle w:val="ListNumber"/>
      </w:pPr>
      <w:r>
        <w:t>Do not act from headlines alone. Confirm the move in prices, breadth, volatility, rates and credit.</w:t>
      </w:r>
    </w:p>
    <w:p>
      <w:pPr>
        <w:pStyle w:val="ListNumber"/>
      </w:pPr>
      <w:r>
        <w:t>Recalculate the current portfolio's gross and net market exposure before adding a hedge.</w:t>
      </w:r>
    </w:p>
    <w:p>
      <w:pPr>
        <w:pStyle w:val="ListNumber"/>
      </w:pPr>
      <w:r>
        <w:t>Refresh BTAL and AIBD charts and current holdings/index composition.</w:t>
      </w:r>
    </w:p>
    <w:p>
      <w:pPr>
        <w:pStyle w:val="ListNumber"/>
      </w:pPr>
      <w:r>
        <w:t>Calculate proposed position size as a percentage of current NAV, not an old portfolio value.</w:t>
      </w:r>
    </w:p>
    <w:p>
      <w:pPr>
        <w:pStyle w:val="ListNumber"/>
      </w:pPr>
      <w:r>
        <w:t>For AIBD, explicitly calculate the fund impact of AI index moves of +5%, +10%, -5%, -10% and -20% over the next session.</w:t>
      </w:r>
    </w:p>
    <w:p>
      <w:pPr>
        <w:pStyle w:val="ListNumber"/>
      </w:pPr>
      <w:r>
        <w:t>Check liquidity and spreads before entry; avoid treating an indicative price as executable.</w:t>
      </w:r>
    </w:p>
    <w:p>
      <w:pPr>
        <w:pStyle w:val="ListNumber"/>
      </w:pPr>
      <w:r>
        <w:t>Set the conditions for reduction/exit at the same time as entry.</w:t>
      </w:r>
    </w:p>
    <w:p>
      <w:pPr>
        <w:pStyle w:val="ListNumber"/>
      </w:pPr>
      <w:r>
        <w:t>During a confirmed liquidation, review AIBD daily. Do not assume that because the crash thesis remains true the position size remains appropriate.</w:t>
      </w:r>
    </w:p>
    <w:p>
      <w:pPr>
        <w:pStyle w:val="ListNumber"/>
      </w:pPr>
      <w:r>
        <w:t>As attractive long-term assets reach pre-researched crash-buy levels, progressively convert hedge profits/cash into those opportunities.</w:t>
      </w:r>
    </w:p>
    <w:p>
      <w:pPr>
        <w:pStyle w:val="ListNumber"/>
      </w:pPr>
      <w:r>
        <w:t>Be especially alert to violent policy-driven or short-covering rebounds, which can damage leveraged inverse positions very quickly.</w:t>
      </w:r>
    </w:p>
    <w:p>
      <w:pPr>
        <w:pStyle w:val="Heading1"/>
      </w:pPr>
      <w:r>
        <w:t>12. What Would Invalidate or Change the Plan?</w:t>
      </w:r>
    </w:p>
    <w:p>
      <w:pPr>
        <w:pStyle w:val="ListBullet"/>
      </w:pPr>
      <w:r>
        <w:t>Macro fragility indicators improve materially and sustainably.</w:t>
      </w:r>
    </w:p>
    <w:p>
      <w:pPr>
        <w:pStyle w:val="ListBullet"/>
      </w:pPr>
      <w:r>
        <w:t>Long yields stabilise/fall for benign reasons while credit remains healthy and breadth broadens.</w:t>
      </w:r>
    </w:p>
    <w:p>
      <w:pPr>
        <w:pStyle w:val="ListBullet"/>
      </w:pPr>
      <w:r>
        <w:t>High-beta/AI leadership strengthens rather than weakens.</w:t>
      </w:r>
    </w:p>
    <w:p>
      <w:pPr>
        <w:pStyle w:val="ListBullet"/>
      </w:pPr>
      <w:r>
        <w:t>BTAL's portfolio construction changes in a way that no longer provides useful anti-beta exposure.</w:t>
      </w:r>
    </w:p>
    <w:p>
      <w:pPr>
        <w:pStyle w:val="ListBullet"/>
      </w:pPr>
      <w:r>
        <w:t>AIBD's underlying index composition becomes a poor representation of the vulnerable AI complex.</w:t>
      </w:r>
    </w:p>
    <w:p>
      <w:pPr>
        <w:pStyle w:val="ListBullet"/>
      </w:pPr>
      <w:r>
        <w:t>A crash begins for a driver that makes a different hedge materially superior.</w:t>
      </w:r>
    </w:p>
    <w:p>
      <w:pPr>
        <w:pStyle w:val="ListBullet"/>
      </w:pPr>
      <w:r>
        <w:t>Policy intervention changes the expected path of the sell-off.</w:t>
      </w:r>
    </w:p>
    <w:p>
      <w:pPr>
        <w:pStyle w:val="ListBullet"/>
      </w:pPr>
      <w:r>
        <w:t>The fund's long portfolio changes sufficiently that existing hedges become redundant or create excessive net short exposure.</w:t>
      </w:r>
    </w:p>
    <w:p>
      <w:pPr>
        <w:pStyle w:val="Heading1"/>
      </w:pPr>
      <w:r>
        <w:t>13. Working Decision Rule</w:t>
      </w:r>
    </w:p>
    <w:p>
      <w:r>
        <w:rPr>
          <w:b/>
        </w:rPr>
        <w:t xml:space="preserve">BTAL = insurance before the fire.  </w:t>
      </w:r>
      <w:r>
        <w:t>Use when fragility has materially worsened but timing remains uncertain.</w:t>
      </w:r>
    </w:p>
    <w:p>
      <w:r>
        <w:rPr>
          <w:b/>
        </w:rPr>
        <w:t xml:space="preserve">AIBD = tactical weapon once flames are visible.  </w:t>
      </w:r>
      <w:r>
        <w:t>Use only after the AI/high-beta complex confirms the break, and reassess daily.</w:t>
      </w:r>
    </w:p>
    <w:p>
      <w:r>
        <w:rPr>
          <w:b/>
        </w:rPr>
        <w:t xml:space="preserve">Cash = ammunition for the aftermath.  </w:t>
      </w:r>
      <w:r>
        <w:t>Preserve the ability to buy durable assets when forced selling creates genuine value.</w:t>
      </w:r>
    </w:p>
    <w:p>
      <w:pPr>
        <w:pStyle w:val="Heading1"/>
      </w:pPr>
      <w:r>
        <w:t>14. Status of the Plan</w:t>
      </w:r>
    </w:p>
    <w:p>
      <w:r>
        <w:t>This document is a preparedness framework. It intentionally avoids automatic triggers or standing orders. Every stage transition requires a fresh review of live market conditions and the portfolio before execution. The strategy should evolve if better instruments or better evidence emerge.</w:t>
      </w:r>
    </w:p>
    <w:p/>
    <w:p>
      <w:pPr>
        <w:jc w:val="center"/>
      </w:pPr>
      <w:r>
        <w:rPr>
          <w:i/>
          <w:sz w:val="18"/>
        </w:rPr>
        <w:t>Working investment strategy - for reassessment before execution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