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b/>
          <w:color w:val="1F4E79"/>
          <w:sz w:val="46"/>
        </w:rPr>
        <w:t>AI Rollout Bottleneck Watchlist</w:t>
      </w:r>
    </w:p>
    <w:p>
      <w:pPr>
        <w:spacing w:before="0" w:after="280" w:line="240" w:lineRule="auto"/>
      </w:pPr>
      <w:r>
        <w:rPr>
          <w:i/>
          <w:color w:val="5A5A5A"/>
          <w:sz w:val="24"/>
        </w:rPr>
        <w:t>Ranked public-market ideas for further analysis</w:t>
      </w:r>
    </w:p>
    <w:tbl>
      <w:tblPr>
        <w:tblW w:type="auto" w:w="0"/>
        <w:jc w:val="left"/>
        <w:tblLook w:firstColumn="1" w:firstRow="1" w:lastColumn="0" w:lastRow="0" w:noHBand="0" w:noVBand="1" w:val="04A0"/>
      </w:tblPr>
      <w:tblGrid>
        <w:gridCol w:w="4989"/>
        <w:gridCol w:w="4989"/>
      </w:tblGrid>
      <w:tr>
        <w:tc>
          <w:tcPr>
            <w:tcW w:type="dxa" w:w="4989"/>
            <w:tcMar>
              <w:top w:w="110" w:type="dxa"/>
              <w:start w:w="110" w:type="dxa"/>
              <w:bottom w:w="110" w:type="dxa"/>
              <w:end w:w="110" w:type="dxa"/>
            </w:tcMar>
            <w:vAlign w:val="center"/>
            <w:shd w:fill="D9EAF7"/>
          </w:tcPr>
          <w:p>
            <w:pPr>
              <w:spacing w:before="0" w:after="0" w:line="252" w:lineRule="auto"/>
            </w:pPr>
            <w:r>
              <w:rPr>
                <w:b/>
                <w:color w:val="1F4E79"/>
              </w:rPr>
              <w:t>Prepared for</w:t>
            </w:r>
          </w:p>
        </w:tc>
        <w:tc>
          <w:tcPr>
            <w:tcW w:type="dxa" w:w="4989"/>
            <w:tcMar>
              <w:top w:w="110" w:type="dxa"/>
              <w:start w:w="110" w:type="dxa"/>
              <w:bottom w:w="110" w:type="dxa"/>
              <w:end w:w="110" w:type="dxa"/>
            </w:tcMar>
            <w:vAlign w:val="center"/>
            <w:shd w:fill="FFFFFF"/>
          </w:tcPr>
          <w:p>
            <w:pPr>
              <w:spacing w:before="0" w:after="0" w:line="252" w:lineRule="auto"/>
            </w:pPr>
            <w:r>
              <w:t>James C.</w:t>
            </w:r>
          </w:p>
        </w:tc>
      </w:tr>
      <w:tr>
        <w:tc>
          <w:tcPr>
            <w:tcW w:type="dxa" w:w="4989"/>
            <w:tcMar>
              <w:top w:w="110" w:type="dxa"/>
              <w:start w:w="110" w:type="dxa"/>
              <w:bottom w:w="110" w:type="dxa"/>
              <w:end w:w="110" w:type="dxa"/>
            </w:tcMar>
            <w:vAlign w:val="center"/>
            <w:shd w:fill="D9EAF7"/>
          </w:tcPr>
          <w:p>
            <w:pPr>
              <w:spacing w:before="0" w:after="0" w:line="252" w:lineRule="auto"/>
            </w:pPr>
            <w:r>
              <w:rPr>
                <w:b/>
                <w:color w:val="1F4E79"/>
              </w:rPr>
              <w:t>Date</w:t>
            </w:r>
          </w:p>
        </w:tc>
        <w:tc>
          <w:tcPr>
            <w:tcW w:type="dxa" w:w="4989"/>
            <w:tcMar>
              <w:top w:w="110" w:type="dxa"/>
              <w:start w:w="110" w:type="dxa"/>
              <w:bottom w:w="110" w:type="dxa"/>
              <w:end w:w="110" w:type="dxa"/>
            </w:tcMar>
            <w:vAlign w:val="center"/>
            <w:shd w:fill="FFFFFF"/>
          </w:tcPr>
          <w:p>
            <w:pPr>
              <w:spacing w:before="0" w:after="0" w:line="252" w:lineRule="auto"/>
            </w:pPr>
            <w:r>
              <w:t>14 April 2026</w:t>
            </w:r>
          </w:p>
        </w:tc>
      </w:tr>
      <w:tr>
        <w:tc>
          <w:tcPr>
            <w:tcW w:type="dxa" w:w="4989"/>
            <w:tcMar>
              <w:top w:w="110" w:type="dxa"/>
              <w:start w:w="110" w:type="dxa"/>
              <w:bottom w:w="110" w:type="dxa"/>
              <w:end w:w="110" w:type="dxa"/>
            </w:tcMar>
            <w:vAlign w:val="center"/>
            <w:shd w:fill="D9EAF7"/>
          </w:tcPr>
          <w:p>
            <w:pPr>
              <w:spacing w:before="0" w:after="0" w:line="252" w:lineRule="auto"/>
            </w:pPr>
            <w:r>
              <w:rPr>
                <w:b/>
                <w:color w:val="1F4E79"/>
              </w:rPr>
              <w:t>Scope</w:t>
            </w:r>
          </w:p>
        </w:tc>
        <w:tc>
          <w:tcPr>
            <w:tcW w:type="dxa" w:w="4989"/>
            <w:tcMar>
              <w:top w:w="110" w:type="dxa"/>
              <w:start w:w="110" w:type="dxa"/>
              <w:bottom w:w="110" w:type="dxa"/>
              <w:end w:w="110" w:type="dxa"/>
            </w:tcMar>
            <w:vAlign w:val="center"/>
            <w:shd w:fill="FFFFFF"/>
          </w:tcPr>
          <w:p>
            <w:pPr>
              <w:spacing w:before="0" w:after="0" w:line="252" w:lineRule="auto"/>
            </w:pPr>
            <w:r>
              <w:t>Companies that benefit from AI infrastructure roll-out but do not appear as obviously over-priced as the most crowded AI names.</w:t>
            </w:r>
          </w:p>
        </w:tc>
      </w:tr>
    </w:tbl>
    <w:p/>
    <w:p>
      <w:pPr>
        <w:spacing w:before="0" w:after="120" w:line="240" w:lineRule="auto"/>
      </w:pPr>
      <w:r>
        <w:rPr>
          <w:b/>
          <w:color w:val="2F5496"/>
          <w:sz w:val="23"/>
        </w:rPr>
        <w:t>Executive view</w:t>
      </w:r>
    </w:p>
    <w:p>
      <w:pPr>
        <w:spacing w:before="0" w:after="40" w:line="247" w:lineRule="auto"/>
        <w:ind w:left="198"/>
      </w:pPr>
      <w:r>
        <w:rPr>
          <w:b/>
        </w:rPr>
        <w:t xml:space="preserve">• </w:t>
      </w:r>
      <w:r>
        <w:t>The least glamorous parts of the AI build-out remain the most dependable investment bottlenecks: power delivery, electrical gear, thermal management, packaging and interconnects.</w:t>
      </w:r>
    </w:p>
    <w:p>
      <w:pPr>
        <w:spacing w:before="0" w:after="40" w:line="247" w:lineRule="auto"/>
        <w:ind w:left="198"/>
      </w:pPr>
      <w:r>
        <w:rPr>
          <w:b/>
        </w:rPr>
        <w:t xml:space="preserve">• </w:t>
      </w:r>
      <w:r>
        <w:t>The top three names for immediate further work are nVent, Jabil and Hubbell. They offer direct exposure to AI deployment constraints without the valuation stretch seen in many obvious AI winners.</w:t>
      </w:r>
    </w:p>
    <w:p>
      <w:pPr>
        <w:spacing w:before="0" w:after="40" w:line="247" w:lineRule="auto"/>
        <w:ind w:left="198"/>
      </w:pPr>
      <w:r>
        <w:rPr>
          <w:b/>
        </w:rPr>
        <w:t xml:space="preserve">• </w:t>
      </w:r>
      <w:r>
        <w:t>Entry zones below are tactical accumulation bands, not precise fair-value marks. They are intended as disciplined ranges for staged buying rather than all-in levels.</w:t>
      </w:r>
    </w:p>
    <w:p>
      <w:r>
        <w:br w:type="page"/>
      </w:r>
    </w:p>
    <w:p>
      <w:pPr>
        <w:pStyle w:val="Heading1"/>
        <w:spacing w:before="0" w:after="120" w:line="240" w:lineRule="auto"/>
      </w:pPr>
      <w:r>
        <w:t>Ranked summary</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fill="1F4E79"/>
            <w:tcMar>
              <w:top w:w="120" w:type="dxa"/>
              <w:start w:w="90" w:type="dxa"/>
              <w:bottom w:w="120" w:type="dxa"/>
              <w:end w:w="90" w:type="dxa"/>
            </w:tcMar>
            <w:vAlign w:val="center"/>
          </w:tcPr>
          <w:p>
            <w:pPr>
              <w:spacing w:before="0" w:after="0" w:line="240" w:lineRule="auto"/>
            </w:pPr>
            <w:r>
              <w:rPr>
                <w:b/>
                <w:color w:val="FFFFFF"/>
                <w:sz w:val="19"/>
              </w:rPr>
              <w:t>Rank</w:t>
            </w:r>
          </w:p>
        </w:tc>
        <w:tc>
          <w:tcPr>
            <w:tcW w:type="dxa" w:w="1425"/>
            <w:shd w:fill="1F4E79"/>
            <w:tcMar>
              <w:top w:w="120" w:type="dxa"/>
              <w:start w:w="90" w:type="dxa"/>
              <w:bottom w:w="120" w:type="dxa"/>
              <w:end w:w="90" w:type="dxa"/>
            </w:tcMar>
            <w:vAlign w:val="center"/>
          </w:tcPr>
          <w:p>
            <w:pPr>
              <w:spacing w:before="0" w:after="0" w:line="240" w:lineRule="auto"/>
            </w:pPr>
            <w:r>
              <w:rPr>
                <w:b/>
                <w:color w:val="FFFFFF"/>
                <w:sz w:val="19"/>
              </w:rPr>
              <w:t>Ticker</w:t>
            </w:r>
          </w:p>
        </w:tc>
        <w:tc>
          <w:tcPr>
            <w:tcW w:type="dxa" w:w="1425"/>
            <w:shd w:fill="1F4E79"/>
            <w:tcMar>
              <w:top w:w="120" w:type="dxa"/>
              <w:start w:w="90" w:type="dxa"/>
              <w:bottom w:w="120" w:type="dxa"/>
              <w:end w:w="90" w:type="dxa"/>
            </w:tcMar>
            <w:vAlign w:val="center"/>
          </w:tcPr>
          <w:p>
            <w:pPr>
              <w:spacing w:before="0" w:after="0" w:line="240" w:lineRule="auto"/>
            </w:pPr>
            <w:r>
              <w:rPr>
                <w:b/>
                <w:color w:val="FFFFFF"/>
                <w:sz w:val="19"/>
              </w:rPr>
              <w:t>Company</w:t>
            </w:r>
          </w:p>
        </w:tc>
        <w:tc>
          <w:tcPr>
            <w:tcW w:type="dxa" w:w="1425"/>
            <w:shd w:fill="1F4E79"/>
            <w:tcMar>
              <w:top w:w="120" w:type="dxa"/>
              <w:start w:w="90" w:type="dxa"/>
              <w:bottom w:w="120" w:type="dxa"/>
              <w:end w:w="90" w:type="dxa"/>
            </w:tcMar>
            <w:vAlign w:val="center"/>
          </w:tcPr>
          <w:p>
            <w:pPr>
              <w:spacing w:before="0" w:after="0" w:line="240" w:lineRule="auto"/>
            </w:pPr>
            <w:r>
              <w:rPr>
                <w:b/>
                <w:color w:val="FFFFFF"/>
                <w:sz w:val="19"/>
              </w:rPr>
              <w:t>Theme</w:t>
            </w:r>
          </w:p>
        </w:tc>
        <w:tc>
          <w:tcPr>
            <w:tcW w:type="dxa" w:w="1425"/>
            <w:shd w:fill="1F4E79"/>
            <w:tcMar>
              <w:top w:w="120" w:type="dxa"/>
              <w:start w:w="90" w:type="dxa"/>
              <w:bottom w:w="120" w:type="dxa"/>
              <w:end w:w="90" w:type="dxa"/>
            </w:tcMar>
            <w:vAlign w:val="center"/>
          </w:tcPr>
          <w:p>
            <w:pPr>
              <w:spacing w:before="0" w:after="0" w:line="240" w:lineRule="auto"/>
            </w:pPr>
            <w:r>
              <w:rPr>
                <w:b/>
                <w:color w:val="FFFFFF"/>
                <w:sz w:val="19"/>
              </w:rPr>
              <w:t>Current price</w:t>
            </w:r>
          </w:p>
        </w:tc>
        <w:tc>
          <w:tcPr>
            <w:tcW w:type="dxa" w:w="1425"/>
            <w:shd w:fill="1F4E79"/>
            <w:tcMar>
              <w:top w:w="120" w:type="dxa"/>
              <w:start w:w="90" w:type="dxa"/>
              <w:bottom w:w="120" w:type="dxa"/>
              <w:end w:w="90" w:type="dxa"/>
            </w:tcMar>
            <w:vAlign w:val="center"/>
          </w:tcPr>
          <w:p>
            <w:pPr>
              <w:spacing w:before="0" w:after="0" w:line="240" w:lineRule="auto"/>
            </w:pPr>
            <w:r>
              <w:rPr>
                <w:b/>
                <w:color w:val="FFFFFF"/>
                <w:sz w:val="19"/>
              </w:rPr>
              <w:t>Stance</w:t>
            </w:r>
          </w:p>
        </w:tc>
        <w:tc>
          <w:tcPr>
            <w:tcW w:type="dxa" w:w="1425"/>
            <w:shd w:fill="1F4E79"/>
            <w:tcMar>
              <w:top w:w="120" w:type="dxa"/>
              <w:start w:w="90" w:type="dxa"/>
              <w:bottom w:w="120" w:type="dxa"/>
              <w:end w:w="90" w:type="dxa"/>
            </w:tcMar>
            <w:vAlign w:val="center"/>
          </w:tcPr>
          <w:p>
            <w:pPr>
              <w:spacing w:before="0" w:after="0" w:line="240" w:lineRule="auto"/>
            </w:pPr>
            <w:r>
              <w:rPr>
                <w:b/>
                <w:color w:val="FFFFFF"/>
                <w:sz w:val="19"/>
              </w:rPr>
              <w:t>Entry zone</w:t>
            </w:r>
          </w:p>
        </w:tc>
      </w:tr>
      <w:tr>
        <w:tc>
          <w:tcPr>
            <w:tcW w:type="dxa" w:w="1425"/>
            <w:tcMar>
              <w:top w:w="100" w:type="dxa"/>
              <w:start w:w="85" w:type="dxa"/>
              <w:bottom w:w="100" w:type="dxa"/>
              <w:end w:w="85" w:type="dxa"/>
            </w:tcMar>
            <w:vAlign w:val="center"/>
            <w:shd w:fill="EAF2F8"/>
          </w:tcPr>
          <w:p>
            <w:pPr>
              <w:spacing w:before="0" w:after="0" w:line="240" w:lineRule="auto"/>
            </w:pPr>
            <w:r>
              <w:rPr>
                <w:b/>
                <w:color w:val="2F5496"/>
                <w:sz w:val="17"/>
              </w:rPr>
              <w:t>1</w:t>
            </w:r>
          </w:p>
        </w:tc>
        <w:tc>
          <w:tcPr>
            <w:tcW w:type="dxa" w:w="1425"/>
            <w:tcMar>
              <w:top w:w="100" w:type="dxa"/>
              <w:start w:w="85" w:type="dxa"/>
              <w:bottom w:w="100" w:type="dxa"/>
              <w:end w:w="85" w:type="dxa"/>
            </w:tcMar>
            <w:vAlign w:val="center"/>
          </w:tcPr>
          <w:p>
            <w:pPr>
              <w:spacing w:before="0" w:after="0" w:line="240" w:lineRule="auto"/>
            </w:pPr>
            <w:r>
              <w:rPr>
                <w:b/>
                <w:color w:val="2F5496"/>
                <w:sz w:val="17"/>
              </w:rPr>
              <w:t>NVT</w:t>
            </w:r>
          </w:p>
        </w:tc>
        <w:tc>
          <w:tcPr>
            <w:tcW w:type="dxa" w:w="1425"/>
            <w:tcMar>
              <w:top w:w="100" w:type="dxa"/>
              <w:start w:w="85" w:type="dxa"/>
              <w:bottom w:w="100" w:type="dxa"/>
              <w:end w:w="85" w:type="dxa"/>
            </w:tcMar>
            <w:vAlign w:val="center"/>
          </w:tcPr>
          <w:p>
            <w:pPr>
              <w:spacing w:before="0" w:after="0" w:line="240" w:lineRule="auto"/>
            </w:pPr>
            <w:r>
              <w:rPr>
                <w:sz w:val="17"/>
              </w:rPr>
              <w:t>nVent Electric</w:t>
            </w:r>
          </w:p>
        </w:tc>
        <w:tc>
          <w:tcPr>
            <w:tcW w:type="dxa" w:w="1425"/>
            <w:tcMar>
              <w:top w:w="100" w:type="dxa"/>
              <w:start w:w="85" w:type="dxa"/>
              <w:bottom w:w="100" w:type="dxa"/>
              <w:end w:w="85" w:type="dxa"/>
            </w:tcMar>
            <w:vAlign w:val="center"/>
          </w:tcPr>
          <w:p>
            <w:pPr>
              <w:spacing w:before="0" w:after="0" w:line="240" w:lineRule="auto"/>
            </w:pPr>
            <w:r>
              <w:rPr>
                <w:sz w:val="17"/>
              </w:rPr>
              <w:t>Electrical infrastructure and liquid cooling</w:t>
            </w:r>
          </w:p>
        </w:tc>
        <w:tc>
          <w:tcPr>
            <w:tcW w:type="dxa" w:w="1425"/>
            <w:tcMar>
              <w:top w:w="100" w:type="dxa"/>
              <w:start w:w="85" w:type="dxa"/>
              <w:bottom w:w="100" w:type="dxa"/>
              <w:end w:w="85" w:type="dxa"/>
            </w:tcMar>
            <w:vAlign w:val="center"/>
          </w:tcPr>
          <w:p>
            <w:pPr>
              <w:spacing w:before="0" w:after="0" w:line="240" w:lineRule="auto"/>
            </w:pPr>
            <w:r>
              <w:rPr>
                <w:sz w:val="17"/>
              </w:rPr>
              <w:t>$133.16</w:t>
            </w:r>
          </w:p>
        </w:tc>
        <w:tc>
          <w:tcPr>
            <w:tcW w:type="dxa" w:w="1425"/>
            <w:tcMar>
              <w:top w:w="100" w:type="dxa"/>
              <w:start w:w="85" w:type="dxa"/>
              <w:bottom w:w="100" w:type="dxa"/>
              <w:end w:w="85" w:type="dxa"/>
            </w:tcMar>
            <w:vAlign w:val="center"/>
          </w:tcPr>
          <w:p>
            <w:pPr>
              <w:spacing w:before="0" w:after="0" w:line="240" w:lineRule="auto"/>
            </w:pPr>
            <w:r>
              <w:rPr>
                <w:sz w:val="17"/>
              </w:rPr>
              <w:t>Best blend of theme + valuation</w:t>
            </w:r>
          </w:p>
        </w:tc>
        <w:tc>
          <w:tcPr>
            <w:tcW w:type="dxa" w:w="1425"/>
            <w:tcMar>
              <w:top w:w="100" w:type="dxa"/>
              <w:start w:w="85" w:type="dxa"/>
              <w:bottom w:w="100" w:type="dxa"/>
              <w:end w:w="85" w:type="dxa"/>
            </w:tcMar>
            <w:vAlign w:val="center"/>
          </w:tcPr>
          <w:p>
            <w:pPr>
              <w:spacing w:before="0" w:after="0" w:line="240" w:lineRule="auto"/>
            </w:pPr>
            <w:r>
              <w:rPr>
                <w:sz w:val="17"/>
              </w:rPr>
              <w:t>$126-$134</w:t>
            </w:r>
          </w:p>
        </w:tc>
      </w:tr>
      <w:tr>
        <w:tc>
          <w:tcPr>
            <w:tcW w:type="dxa" w:w="1425"/>
            <w:tcMar>
              <w:top w:w="100" w:type="dxa"/>
              <w:start w:w="85" w:type="dxa"/>
              <w:bottom w:w="100" w:type="dxa"/>
              <w:end w:w="85" w:type="dxa"/>
            </w:tcMar>
            <w:vAlign w:val="center"/>
            <w:shd w:fill="EAF2F8"/>
          </w:tcPr>
          <w:p>
            <w:pPr>
              <w:spacing w:before="0" w:after="0" w:line="240" w:lineRule="auto"/>
            </w:pPr>
            <w:r>
              <w:rPr>
                <w:b/>
                <w:color w:val="2F5496"/>
                <w:sz w:val="17"/>
              </w:rPr>
              <w:t>2</w:t>
            </w:r>
          </w:p>
        </w:tc>
        <w:tc>
          <w:tcPr>
            <w:tcW w:type="dxa" w:w="1425"/>
            <w:tcMar>
              <w:top w:w="100" w:type="dxa"/>
              <w:start w:w="85" w:type="dxa"/>
              <w:bottom w:w="100" w:type="dxa"/>
              <w:end w:w="85" w:type="dxa"/>
            </w:tcMar>
            <w:vAlign w:val="center"/>
          </w:tcPr>
          <w:p>
            <w:pPr>
              <w:spacing w:before="0" w:after="0" w:line="240" w:lineRule="auto"/>
            </w:pPr>
            <w:r>
              <w:rPr>
                <w:b/>
                <w:color w:val="2F5496"/>
                <w:sz w:val="17"/>
              </w:rPr>
              <w:t>JBL</w:t>
            </w:r>
          </w:p>
        </w:tc>
        <w:tc>
          <w:tcPr>
            <w:tcW w:type="dxa" w:w="1425"/>
            <w:tcMar>
              <w:top w:w="100" w:type="dxa"/>
              <w:start w:w="85" w:type="dxa"/>
              <w:bottom w:w="100" w:type="dxa"/>
              <w:end w:w="85" w:type="dxa"/>
            </w:tcMar>
            <w:vAlign w:val="center"/>
          </w:tcPr>
          <w:p>
            <w:pPr>
              <w:spacing w:before="0" w:after="0" w:line="240" w:lineRule="auto"/>
            </w:pPr>
            <w:r>
              <w:rPr>
                <w:sz w:val="17"/>
              </w:rPr>
              <w:t>Jabil</w:t>
            </w:r>
          </w:p>
        </w:tc>
        <w:tc>
          <w:tcPr>
            <w:tcW w:type="dxa" w:w="1425"/>
            <w:tcMar>
              <w:top w:w="100" w:type="dxa"/>
              <w:start w:w="85" w:type="dxa"/>
              <w:bottom w:w="100" w:type="dxa"/>
              <w:end w:w="85" w:type="dxa"/>
            </w:tcMar>
            <w:vAlign w:val="center"/>
          </w:tcPr>
          <w:p>
            <w:pPr>
              <w:spacing w:before="0" w:after="0" w:line="240" w:lineRule="auto"/>
            </w:pPr>
            <w:r>
              <w:rPr>
                <w:sz w:val="17"/>
              </w:rPr>
              <w:t>AI infrastructure manufacturing, power and photonics</w:t>
            </w:r>
          </w:p>
        </w:tc>
        <w:tc>
          <w:tcPr>
            <w:tcW w:type="dxa" w:w="1425"/>
            <w:tcMar>
              <w:top w:w="100" w:type="dxa"/>
              <w:start w:w="85" w:type="dxa"/>
              <w:bottom w:w="100" w:type="dxa"/>
              <w:end w:w="85" w:type="dxa"/>
            </w:tcMar>
            <w:vAlign w:val="center"/>
          </w:tcPr>
          <w:p>
            <w:pPr>
              <w:spacing w:before="0" w:after="0" w:line="240" w:lineRule="auto"/>
            </w:pPr>
            <w:r>
              <w:rPr>
                <w:sz w:val="17"/>
              </w:rPr>
              <w:t>$305.37</w:t>
            </w:r>
          </w:p>
        </w:tc>
        <w:tc>
          <w:tcPr>
            <w:tcW w:type="dxa" w:w="1425"/>
            <w:tcMar>
              <w:top w:w="100" w:type="dxa"/>
              <w:start w:w="85" w:type="dxa"/>
              <w:bottom w:w="100" w:type="dxa"/>
              <w:end w:w="85" w:type="dxa"/>
            </w:tcMar>
            <w:vAlign w:val="center"/>
          </w:tcPr>
          <w:p>
            <w:pPr>
              <w:spacing w:before="0" w:after="0" w:line="240" w:lineRule="auto"/>
            </w:pPr>
            <w:r>
              <w:rPr>
                <w:sz w:val="17"/>
              </w:rPr>
              <w:t>Most underappreciated AI manufacturing play</w:t>
            </w:r>
          </w:p>
        </w:tc>
        <w:tc>
          <w:tcPr>
            <w:tcW w:type="dxa" w:w="1425"/>
            <w:tcMar>
              <w:top w:w="100" w:type="dxa"/>
              <w:start w:w="85" w:type="dxa"/>
              <w:bottom w:w="100" w:type="dxa"/>
              <w:end w:w="85" w:type="dxa"/>
            </w:tcMar>
            <w:vAlign w:val="center"/>
          </w:tcPr>
          <w:p>
            <w:pPr>
              <w:spacing w:before="0" w:after="0" w:line="240" w:lineRule="auto"/>
            </w:pPr>
            <w:r>
              <w:rPr>
                <w:sz w:val="17"/>
              </w:rPr>
              <w:t>$292-$308</w:t>
            </w:r>
          </w:p>
        </w:tc>
      </w:tr>
      <w:tr>
        <w:tc>
          <w:tcPr>
            <w:tcW w:type="dxa" w:w="1425"/>
            <w:tcMar>
              <w:top w:w="100" w:type="dxa"/>
              <w:start w:w="85" w:type="dxa"/>
              <w:bottom w:w="100" w:type="dxa"/>
              <w:end w:w="85" w:type="dxa"/>
            </w:tcMar>
            <w:vAlign w:val="center"/>
            <w:shd w:fill="EAF2F8"/>
          </w:tcPr>
          <w:p>
            <w:pPr>
              <w:spacing w:before="0" w:after="0" w:line="240" w:lineRule="auto"/>
            </w:pPr>
            <w:r>
              <w:rPr>
                <w:b/>
                <w:color w:val="2F5496"/>
                <w:sz w:val="17"/>
              </w:rPr>
              <w:t>3</w:t>
            </w:r>
          </w:p>
        </w:tc>
        <w:tc>
          <w:tcPr>
            <w:tcW w:type="dxa" w:w="1425"/>
            <w:tcMar>
              <w:top w:w="100" w:type="dxa"/>
              <w:start w:w="85" w:type="dxa"/>
              <w:bottom w:w="100" w:type="dxa"/>
              <w:end w:w="85" w:type="dxa"/>
            </w:tcMar>
            <w:vAlign w:val="center"/>
          </w:tcPr>
          <w:p>
            <w:pPr>
              <w:spacing w:before="0" w:after="0" w:line="240" w:lineRule="auto"/>
            </w:pPr>
            <w:r>
              <w:rPr>
                <w:b/>
                <w:color w:val="2F5496"/>
                <w:sz w:val="17"/>
              </w:rPr>
              <w:t>HUBB</w:t>
            </w:r>
          </w:p>
        </w:tc>
        <w:tc>
          <w:tcPr>
            <w:tcW w:type="dxa" w:w="1425"/>
            <w:tcMar>
              <w:top w:w="100" w:type="dxa"/>
              <w:start w:w="85" w:type="dxa"/>
              <w:bottom w:w="100" w:type="dxa"/>
              <w:end w:w="85" w:type="dxa"/>
            </w:tcMar>
            <w:vAlign w:val="center"/>
          </w:tcPr>
          <w:p>
            <w:pPr>
              <w:spacing w:before="0" w:after="0" w:line="240" w:lineRule="auto"/>
            </w:pPr>
            <w:r>
              <w:rPr>
                <w:sz w:val="17"/>
              </w:rPr>
              <w:t>Hubbell</w:t>
            </w:r>
          </w:p>
        </w:tc>
        <w:tc>
          <w:tcPr>
            <w:tcW w:type="dxa" w:w="1425"/>
            <w:tcMar>
              <w:top w:w="100" w:type="dxa"/>
              <w:start w:w="85" w:type="dxa"/>
              <w:bottom w:w="100" w:type="dxa"/>
              <w:end w:w="85" w:type="dxa"/>
            </w:tcMar>
            <w:vAlign w:val="center"/>
          </w:tcPr>
          <w:p>
            <w:pPr>
              <w:spacing w:before="0" w:after="0" w:line="240" w:lineRule="auto"/>
            </w:pPr>
            <w:r>
              <w:rPr>
                <w:sz w:val="17"/>
              </w:rPr>
              <w:t>Electrical products and utility infrastructure</w:t>
            </w:r>
          </w:p>
        </w:tc>
        <w:tc>
          <w:tcPr>
            <w:tcW w:type="dxa" w:w="1425"/>
            <w:tcMar>
              <w:top w:w="100" w:type="dxa"/>
              <w:start w:w="85" w:type="dxa"/>
              <w:bottom w:w="100" w:type="dxa"/>
              <w:end w:w="85" w:type="dxa"/>
            </w:tcMar>
            <w:vAlign w:val="center"/>
          </w:tcPr>
          <w:p>
            <w:pPr>
              <w:spacing w:before="0" w:after="0" w:line="240" w:lineRule="auto"/>
            </w:pPr>
            <w:r>
              <w:rPr>
                <w:sz w:val="17"/>
              </w:rPr>
              <w:t>$539.79</w:t>
            </w:r>
          </w:p>
        </w:tc>
        <w:tc>
          <w:tcPr>
            <w:tcW w:type="dxa" w:w="1425"/>
            <w:tcMar>
              <w:top w:w="100" w:type="dxa"/>
              <w:start w:w="85" w:type="dxa"/>
              <w:bottom w:w="100" w:type="dxa"/>
              <w:end w:w="85" w:type="dxa"/>
            </w:tcMar>
            <w:vAlign w:val="center"/>
          </w:tcPr>
          <w:p>
            <w:pPr>
              <w:spacing w:before="0" w:after="0" w:line="240" w:lineRule="auto"/>
            </w:pPr>
            <w:r>
              <w:rPr>
                <w:sz w:val="17"/>
              </w:rPr>
              <w:t>Steadier AI power compounder</w:t>
            </w:r>
          </w:p>
        </w:tc>
        <w:tc>
          <w:tcPr>
            <w:tcW w:type="dxa" w:w="1425"/>
            <w:tcMar>
              <w:top w:w="100" w:type="dxa"/>
              <w:start w:w="85" w:type="dxa"/>
              <w:bottom w:w="100" w:type="dxa"/>
              <w:end w:w="85" w:type="dxa"/>
            </w:tcMar>
            <w:vAlign w:val="center"/>
          </w:tcPr>
          <w:p>
            <w:pPr>
              <w:spacing w:before="0" w:after="0" w:line="240" w:lineRule="auto"/>
            </w:pPr>
            <w:r>
              <w:rPr>
                <w:sz w:val="17"/>
              </w:rPr>
              <w:t>$515-$545</w:t>
            </w:r>
          </w:p>
        </w:tc>
      </w:tr>
      <w:tr>
        <w:tc>
          <w:tcPr>
            <w:tcW w:type="dxa" w:w="1425"/>
            <w:tcMar>
              <w:top w:w="100" w:type="dxa"/>
              <w:start w:w="85" w:type="dxa"/>
              <w:bottom w:w="100" w:type="dxa"/>
              <w:end w:w="85" w:type="dxa"/>
            </w:tcMar>
            <w:vAlign w:val="center"/>
            <w:shd w:fill="EAF2F8"/>
          </w:tcPr>
          <w:p>
            <w:pPr>
              <w:spacing w:before="0" w:after="0" w:line="240" w:lineRule="auto"/>
            </w:pPr>
            <w:r>
              <w:rPr>
                <w:b/>
                <w:color w:val="2F5496"/>
                <w:sz w:val="17"/>
              </w:rPr>
              <w:t>4</w:t>
            </w:r>
          </w:p>
        </w:tc>
        <w:tc>
          <w:tcPr>
            <w:tcW w:type="dxa" w:w="1425"/>
            <w:tcMar>
              <w:top w:w="100" w:type="dxa"/>
              <w:start w:w="85" w:type="dxa"/>
              <w:bottom w:w="100" w:type="dxa"/>
              <w:end w:w="85" w:type="dxa"/>
            </w:tcMar>
            <w:vAlign w:val="center"/>
          </w:tcPr>
          <w:p>
            <w:pPr>
              <w:spacing w:before="0" w:after="0" w:line="240" w:lineRule="auto"/>
            </w:pPr>
            <w:r>
              <w:rPr>
                <w:b/>
                <w:color w:val="2F5496"/>
                <w:sz w:val="17"/>
              </w:rPr>
              <w:t>AMKR</w:t>
            </w:r>
          </w:p>
        </w:tc>
        <w:tc>
          <w:tcPr>
            <w:tcW w:type="dxa" w:w="1425"/>
            <w:tcMar>
              <w:top w:w="100" w:type="dxa"/>
              <w:start w:w="85" w:type="dxa"/>
              <w:bottom w:w="100" w:type="dxa"/>
              <w:end w:w="85" w:type="dxa"/>
            </w:tcMar>
            <w:vAlign w:val="center"/>
          </w:tcPr>
          <w:p>
            <w:pPr>
              <w:spacing w:before="0" w:after="0" w:line="240" w:lineRule="auto"/>
            </w:pPr>
            <w:r>
              <w:rPr>
                <w:sz w:val="17"/>
              </w:rPr>
              <w:t>Amkor Technology</w:t>
            </w:r>
          </w:p>
        </w:tc>
        <w:tc>
          <w:tcPr>
            <w:tcW w:type="dxa" w:w="1425"/>
            <w:tcMar>
              <w:top w:w="100" w:type="dxa"/>
              <w:start w:w="85" w:type="dxa"/>
              <w:bottom w:w="100" w:type="dxa"/>
              <w:end w:w="85" w:type="dxa"/>
            </w:tcMar>
            <w:vAlign w:val="center"/>
          </w:tcPr>
          <w:p>
            <w:pPr>
              <w:spacing w:before="0" w:after="0" w:line="240" w:lineRule="auto"/>
            </w:pPr>
            <w:r>
              <w:rPr>
                <w:sz w:val="17"/>
              </w:rPr>
              <w:t>Advanced semiconductor packaging and test</w:t>
            </w:r>
          </w:p>
        </w:tc>
        <w:tc>
          <w:tcPr>
            <w:tcW w:type="dxa" w:w="1425"/>
            <w:tcMar>
              <w:top w:w="100" w:type="dxa"/>
              <w:start w:w="85" w:type="dxa"/>
              <w:bottom w:w="100" w:type="dxa"/>
              <w:end w:w="85" w:type="dxa"/>
            </w:tcMar>
            <w:vAlign w:val="center"/>
          </w:tcPr>
          <w:p>
            <w:pPr>
              <w:spacing w:before="0" w:after="0" w:line="240" w:lineRule="auto"/>
            </w:pPr>
            <w:r>
              <w:rPr>
                <w:sz w:val="17"/>
              </w:rPr>
              <w:t>$60.44</w:t>
            </w:r>
          </w:p>
        </w:tc>
        <w:tc>
          <w:tcPr>
            <w:tcW w:type="dxa" w:w="1425"/>
            <w:tcMar>
              <w:top w:w="100" w:type="dxa"/>
              <w:start w:w="85" w:type="dxa"/>
              <w:bottom w:w="100" w:type="dxa"/>
              <w:end w:w="85" w:type="dxa"/>
            </w:tcMar>
            <w:vAlign w:val="center"/>
          </w:tcPr>
          <w:p>
            <w:pPr>
              <w:spacing w:before="0" w:after="0" w:line="240" w:lineRule="auto"/>
            </w:pPr>
            <w:r>
              <w:rPr>
                <w:sz w:val="17"/>
              </w:rPr>
              <w:t>Higher-beta packaging bottleneck play</w:t>
            </w:r>
          </w:p>
        </w:tc>
        <w:tc>
          <w:tcPr>
            <w:tcW w:type="dxa" w:w="1425"/>
            <w:tcMar>
              <w:top w:w="100" w:type="dxa"/>
              <w:start w:w="85" w:type="dxa"/>
              <w:bottom w:w="100" w:type="dxa"/>
              <w:end w:w="85" w:type="dxa"/>
            </w:tcMar>
            <w:vAlign w:val="center"/>
          </w:tcPr>
          <w:p>
            <w:pPr>
              <w:spacing w:before="0" w:after="0" w:line="240" w:lineRule="auto"/>
            </w:pPr>
            <w:r>
              <w:rPr>
                <w:sz w:val="17"/>
              </w:rPr>
              <w:t>$56-$61</w:t>
            </w:r>
          </w:p>
        </w:tc>
      </w:tr>
      <w:tr>
        <w:tc>
          <w:tcPr>
            <w:tcW w:type="dxa" w:w="1425"/>
            <w:tcMar>
              <w:top w:w="100" w:type="dxa"/>
              <w:start w:w="85" w:type="dxa"/>
              <w:bottom w:w="100" w:type="dxa"/>
              <w:end w:w="85" w:type="dxa"/>
            </w:tcMar>
            <w:vAlign w:val="center"/>
            <w:shd w:fill="EAF2F8"/>
          </w:tcPr>
          <w:p>
            <w:pPr>
              <w:spacing w:before="0" w:after="0" w:line="240" w:lineRule="auto"/>
            </w:pPr>
            <w:r>
              <w:rPr>
                <w:b/>
                <w:color w:val="2F5496"/>
                <w:sz w:val="17"/>
              </w:rPr>
              <w:t>5</w:t>
            </w:r>
          </w:p>
        </w:tc>
        <w:tc>
          <w:tcPr>
            <w:tcW w:type="dxa" w:w="1425"/>
            <w:tcMar>
              <w:top w:w="100" w:type="dxa"/>
              <w:start w:w="85" w:type="dxa"/>
              <w:bottom w:w="100" w:type="dxa"/>
              <w:end w:w="85" w:type="dxa"/>
            </w:tcMar>
            <w:vAlign w:val="center"/>
          </w:tcPr>
          <w:p>
            <w:pPr>
              <w:spacing w:before="0" w:after="0" w:line="240" w:lineRule="auto"/>
            </w:pPr>
            <w:r>
              <w:rPr>
                <w:b/>
                <w:color w:val="2F5496"/>
                <w:sz w:val="17"/>
              </w:rPr>
              <w:t>ETN</w:t>
            </w:r>
          </w:p>
        </w:tc>
        <w:tc>
          <w:tcPr>
            <w:tcW w:type="dxa" w:w="1425"/>
            <w:tcMar>
              <w:top w:w="100" w:type="dxa"/>
              <w:start w:w="85" w:type="dxa"/>
              <w:bottom w:w="100" w:type="dxa"/>
              <w:end w:w="85" w:type="dxa"/>
            </w:tcMar>
            <w:vAlign w:val="center"/>
          </w:tcPr>
          <w:p>
            <w:pPr>
              <w:spacing w:before="0" w:after="0" w:line="240" w:lineRule="auto"/>
            </w:pPr>
            <w:r>
              <w:rPr>
                <w:sz w:val="17"/>
              </w:rPr>
              <w:t>Eaton</w:t>
            </w:r>
          </w:p>
        </w:tc>
        <w:tc>
          <w:tcPr>
            <w:tcW w:type="dxa" w:w="1425"/>
            <w:tcMar>
              <w:top w:w="100" w:type="dxa"/>
              <w:start w:w="85" w:type="dxa"/>
              <w:bottom w:w="100" w:type="dxa"/>
              <w:end w:w="85" w:type="dxa"/>
            </w:tcMar>
            <w:vAlign w:val="center"/>
          </w:tcPr>
          <w:p>
            <w:pPr>
              <w:spacing w:before="0" w:after="0" w:line="240" w:lineRule="auto"/>
            </w:pPr>
            <w:r>
              <w:rPr>
                <w:sz w:val="17"/>
              </w:rPr>
              <w:t>Power management and thermal solutions</w:t>
            </w:r>
          </w:p>
        </w:tc>
        <w:tc>
          <w:tcPr>
            <w:tcW w:type="dxa" w:w="1425"/>
            <w:tcMar>
              <w:top w:w="100" w:type="dxa"/>
              <w:start w:w="85" w:type="dxa"/>
              <w:bottom w:w="100" w:type="dxa"/>
              <w:end w:w="85" w:type="dxa"/>
            </w:tcMar>
            <w:vAlign w:val="center"/>
          </w:tcPr>
          <w:p>
            <w:pPr>
              <w:spacing w:before="0" w:after="0" w:line="240" w:lineRule="auto"/>
            </w:pPr>
            <w:r>
              <w:rPr>
                <w:sz w:val="17"/>
              </w:rPr>
              <w:t>$403.36</w:t>
            </w:r>
          </w:p>
        </w:tc>
        <w:tc>
          <w:tcPr>
            <w:tcW w:type="dxa" w:w="1425"/>
            <w:tcMar>
              <w:top w:w="100" w:type="dxa"/>
              <w:start w:w="85" w:type="dxa"/>
              <w:bottom w:w="100" w:type="dxa"/>
              <w:end w:w="85" w:type="dxa"/>
            </w:tcMar>
            <w:vAlign w:val="center"/>
          </w:tcPr>
          <w:p>
            <w:pPr>
              <w:spacing w:before="0" w:after="0" w:line="240" w:lineRule="auto"/>
            </w:pPr>
            <w:r>
              <w:rPr>
                <w:sz w:val="17"/>
              </w:rPr>
              <w:t>Excellent business, less of a bargain</w:t>
            </w:r>
          </w:p>
        </w:tc>
        <w:tc>
          <w:tcPr>
            <w:tcW w:type="dxa" w:w="1425"/>
            <w:tcMar>
              <w:top w:w="100" w:type="dxa"/>
              <w:start w:w="85" w:type="dxa"/>
              <w:bottom w:w="100" w:type="dxa"/>
              <w:end w:w="85" w:type="dxa"/>
            </w:tcMar>
            <w:vAlign w:val="center"/>
          </w:tcPr>
          <w:p>
            <w:pPr>
              <w:spacing w:before="0" w:after="0" w:line="240" w:lineRule="auto"/>
            </w:pPr>
            <w:r>
              <w:rPr>
                <w:sz w:val="17"/>
              </w:rPr>
              <w:t>$385-$405</w:t>
            </w:r>
          </w:p>
        </w:tc>
      </w:tr>
      <w:tr>
        <w:tc>
          <w:tcPr>
            <w:tcW w:type="dxa" w:w="1425"/>
            <w:tcMar>
              <w:top w:w="100" w:type="dxa"/>
              <w:start w:w="85" w:type="dxa"/>
              <w:bottom w:w="100" w:type="dxa"/>
              <w:end w:w="85" w:type="dxa"/>
            </w:tcMar>
            <w:vAlign w:val="center"/>
            <w:shd w:fill="EAF2F8"/>
          </w:tcPr>
          <w:p>
            <w:pPr>
              <w:spacing w:before="0" w:after="0" w:line="240" w:lineRule="auto"/>
            </w:pPr>
            <w:r>
              <w:rPr>
                <w:b/>
                <w:color w:val="2F5496"/>
                <w:sz w:val="17"/>
              </w:rPr>
              <w:t>6</w:t>
            </w:r>
          </w:p>
        </w:tc>
        <w:tc>
          <w:tcPr>
            <w:tcW w:type="dxa" w:w="1425"/>
            <w:tcMar>
              <w:top w:w="100" w:type="dxa"/>
              <w:start w:w="85" w:type="dxa"/>
              <w:bottom w:w="100" w:type="dxa"/>
              <w:end w:w="85" w:type="dxa"/>
            </w:tcMar>
            <w:vAlign w:val="center"/>
          </w:tcPr>
          <w:p>
            <w:pPr>
              <w:spacing w:before="0" w:after="0" w:line="240" w:lineRule="auto"/>
            </w:pPr>
            <w:r>
              <w:rPr>
                <w:b/>
                <w:color w:val="2F5496"/>
                <w:sz w:val="17"/>
              </w:rPr>
              <w:t>APH</w:t>
            </w:r>
          </w:p>
        </w:tc>
        <w:tc>
          <w:tcPr>
            <w:tcW w:type="dxa" w:w="1425"/>
            <w:tcMar>
              <w:top w:w="100" w:type="dxa"/>
              <w:start w:w="85" w:type="dxa"/>
              <w:bottom w:w="100" w:type="dxa"/>
              <w:end w:w="85" w:type="dxa"/>
            </w:tcMar>
            <w:vAlign w:val="center"/>
          </w:tcPr>
          <w:p>
            <w:pPr>
              <w:spacing w:before="0" w:after="0" w:line="240" w:lineRule="auto"/>
            </w:pPr>
            <w:r>
              <w:rPr>
                <w:sz w:val="17"/>
              </w:rPr>
              <w:t>Amphenol</w:t>
            </w:r>
          </w:p>
        </w:tc>
        <w:tc>
          <w:tcPr>
            <w:tcW w:type="dxa" w:w="1425"/>
            <w:tcMar>
              <w:top w:w="100" w:type="dxa"/>
              <w:start w:w="85" w:type="dxa"/>
              <w:bottom w:w="100" w:type="dxa"/>
              <w:end w:w="85" w:type="dxa"/>
            </w:tcMar>
            <w:vAlign w:val="center"/>
          </w:tcPr>
          <w:p>
            <w:pPr>
              <w:spacing w:before="0" w:after="0" w:line="240" w:lineRule="auto"/>
            </w:pPr>
            <w:r>
              <w:rPr>
                <w:sz w:val="17"/>
              </w:rPr>
              <w:t>Connectors, fibre and AI interconnects</w:t>
            </w:r>
          </w:p>
        </w:tc>
        <w:tc>
          <w:tcPr>
            <w:tcW w:type="dxa" w:w="1425"/>
            <w:tcMar>
              <w:top w:w="100" w:type="dxa"/>
              <w:start w:w="85" w:type="dxa"/>
              <w:bottom w:w="100" w:type="dxa"/>
              <w:end w:w="85" w:type="dxa"/>
            </w:tcMar>
            <w:vAlign w:val="center"/>
          </w:tcPr>
          <w:p>
            <w:pPr>
              <w:spacing w:before="0" w:after="0" w:line="240" w:lineRule="auto"/>
            </w:pPr>
            <w:r>
              <w:rPr>
                <w:sz w:val="17"/>
              </w:rPr>
              <w:t>$145.27</w:t>
            </w:r>
          </w:p>
        </w:tc>
        <w:tc>
          <w:tcPr>
            <w:tcW w:type="dxa" w:w="1425"/>
            <w:tcMar>
              <w:top w:w="100" w:type="dxa"/>
              <w:start w:w="85" w:type="dxa"/>
              <w:bottom w:w="100" w:type="dxa"/>
              <w:end w:w="85" w:type="dxa"/>
            </w:tcMar>
            <w:vAlign w:val="center"/>
          </w:tcPr>
          <w:p>
            <w:pPr>
              <w:spacing w:before="0" w:after="0" w:line="240" w:lineRule="auto"/>
            </w:pPr>
            <w:r>
              <w:rPr>
                <w:sz w:val="17"/>
              </w:rPr>
              <w:t>Top-quality connector/interconnect name, but pricey</w:t>
            </w:r>
          </w:p>
        </w:tc>
        <w:tc>
          <w:tcPr>
            <w:tcW w:type="dxa" w:w="1425"/>
            <w:tcMar>
              <w:top w:w="100" w:type="dxa"/>
              <w:start w:w="85" w:type="dxa"/>
              <w:bottom w:w="100" w:type="dxa"/>
              <w:end w:w="85" w:type="dxa"/>
            </w:tcMar>
            <w:vAlign w:val="center"/>
          </w:tcPr>
          <w:p>
            <w:pPr>
              <w:spacing w:before="0" w:after="0" w:line="240" w:lineRule="auto"/>
            </w:pPr>
            <w:r>
              <w:rPr>
                <w:sz w:val="17"/>
              </w:rPr>
              <w:t>$138-$145</w:t>
            </w:r>
          </w:p>
        </w:tc>
      </w:tr>
    </w:tbl>
    <w:p/>
    <w:tbl>
      <w:tblPr>
        <w:tblW w:type="auto" w:w="0"/>
        <w:tblLook w:firstColumn="1" w:firstRow="1" w:lastColumn="0" w:lastRow="0" w:noHBand="0" w:noVBand="1" w:val="04A0"/>
      </w:tblPr>
      <w:tblGrid>
        <w:gridCol w:w="9978"/>
      </w:tblGrid>
      <w:tr>
        <w:tc>
          <w:tcPr>
            <w:tcW w:type="dxa" w:w="9978"/>
            <w:shd w:fill="FFF2CC"/>
            <w:tcMar>
              <w:top w:w="120" w:type="dxa"/>
              <w:start w:w="120" w:type="dxa"/>
              <w:bottom w:w="120" w:type="dxa"/>
              <w:end w:w="120" w:type="dxa"/>
            </w:tcMar>
          </w:tcPr>
          <w:p>
            <w:pPr>
              <w:spacing w:before="0" w:after="0" w:line="252" w:lineRule="auto"/>
            </w:pPr>
            <w:r>
              <w:rPr>
                <w:b/>
                <w:color w:val="2F5496"/>
              </w:rPr>
              <w:t xml:space="preserve">Important: </w:t>
            </w:r>
            <w:r>
              <w:t>Vertiv remains a strong company, but it is excluded from the core recommendations because valuation already reflects a large amount of the AI data-centre success story.</w:t>
            </w:r>
          </w:p>
        </w:tc>
      </w:tr>
    </w:tbl>
    <w:p>
      <w:pPr>
        <w:pStyle w:val="Heading1"/>
        <w:spacing w:before="200" w:after="40" w:line="240" w:lineRule="auto"/>
      </w:pPr>
      <w:r>
        <w:t>1. nVent Electric (NVT)</w:t>
      </w:r>
    </w:p>
    <w:p>
      <w:pPr>
        <w:spacing w:before="0" w:after="160" w:line="240" w:lineRule="auto"/>
      </w:pPr>
      <w:r>
        <w:rPr>
          <w:b/>
          <w:color w:val="2F5496"/>
          <w:sz w:val="22"/>
        </w:rPr>
        <w:t>Best blend of theme + valuation</w:t>
      </w:r>
    </w:p>
    <w:tbl>
      <w:tblPr>
        <w:tblW w:type="auto" w:w="0"/>
        <w:jc w:val="center"/>
        <w:tblLook w:firstColumn="1" w:firstRow="1" w:lastColumn="0" w:lastRow="0" w:noHBand="0" w:noVBand="1" w:val="04A0"/>
      </w:tblPr>
      <w:tblGrid>
        <w:gridCol w:w="2494"/>
        <w:gridCol w:w="2494"/>
        <w:gridCol w:w="2494"/>
        <w:gridCol w:w="2494"/>
      </w:tblGrid>
      <w:tr>
        <w:tc>
          <w:tcPr>
            <w:tcW w:type="dxa" w:w="2494"/>
            <w:shd w:fill="D9EAF7"/>
            <w:tcMar>
              <w:top w:w="110" w:type="dxa"/>
              <w:start w:w="90" w:type="dxa"/>
              <w:bottom w:w="110" w:type="dxa"/>
              <w:end w:w="90" w:type="dxa"/>
            </w:tcMar>
            <w:vAlign w:val="center"/>
          </w:tcPr>
          <w:p>
            <w:pPr>
              <w:spacing w:before="0" w:after="0" w:line="240" w:lineRule="auto"/>
            </w:pPr>
            <w:r>
              <w:rPr>
                <w:b/>
                <w:color w:val="1F4E79"/>
                <w:sz w:val="19"/>
              </w:rPr>
              <w:t>Current price</w:t>
            </w:r>
          </w:p>
        </w:tc>
        <w:tc>
          <w:tcPr>
            <w:tcW w:type="dxa" w:w="2494"/>
            <w:shd w:fill="D9EAF7"/>
            <w:tcMar>
              <w:top w:w="110" w:type="dxa"/>
              <w:start w:w="90" w:type="dxa"/>
              <w:bottom w:w="110" w:type="dxa"/>
              <w:end w:w="90" w:type="dxa"/>
            </w:tcMar>
            <w:vAlign w:val="center"/>
          </w:tcPr>
          <w:p>
            <w:pPr>
              <w:spacing w:before="0" w:after="0" w:line="240" w:lineRule="auto"/>
            </w:pPr>
            <w:r>
              <w:rPr>
                <w:b/>
                <w:color w:val="1F4E79"/>
                <w:sz w:val="19"/>
              </w:rPr>
              <w:t>Market cap</w:t>
            </w:r>
          </w:p>
        </w:tc>
        <w:tc>
          <w:tcPr>
            <w:tcW w:type="dxa" w:w="2494"/>
            <w:shd w:fill="D9EAF7"/>
            <w:tcMar>
              <w:top w:w="110" w:type="dxa"/>
              <w:start w:w="90" w:type="dxa"/>
              <w:bottom w:w="110" w:type="dxa"/>
              <w:end w:w="90" w:type="dxa"/>
            </w:tcMar>
            <w:vAlign w:val="center"/>
          </w:tcPr>
          <w:p>
            <w:pPr>
              <w:spacing w:before="0" w:after="0" w:line="240" w:lineRule="auto"/>
            </w:pPr>
            <w:r>
              <w:rPr>
                <w:b/>
                <w:color w:val="1F4E79"/>
                <w:sz w:val="19"/>
              </w:rPr>
              <w:t>Trailing P/E</w:t>
            </w:r>
          </w:p>
        </w:tc>
        <w:tc>
          <w:tcPr>
            <w:tcW w:type="dxa" w:w="2494"/>
            <w:shd w:fill="D9EAF7"/>
            <w:tcMar>
              <w:top w:w="110" w:type="dxa"/>
              <w:start w:w="90" w:type="dxa"/>
              <w:bottom w:w="110" w:type="dxa"/>
              <w:end w:w="90" w:type="dxa"/>
            </w:tcMar>
            <w:vAlign w:val="center"/>
          </w:tcPr>
          <w:p>
            <w:pPr>
              <w:spacing w:before="0" w:after="0" w:line="240" w:lineRule="auto"/>
            </w:pPr>
            <w:r>
              <w:rPr>
                <w:b/>
                <w:color w:val="1F4E79"/>
                <w:sz w:val="19"/>
              </w:rPr>
              <w:t>Conviction</w:t>
            </w:r>
          </w:p>
        </w:tc>
      </w:tr>
      <w:tr>
        <w:tc>
          <w:tcPr>
            <w:tcW w:type="dxa" w:w="2494"/>
            <w:shd w:fill="FFFFFF"/>
            <w:tcMar>
              <w:top w:w="110" w:type="dxa"/>
              <w:start w:w="90" w:type="dxa"/>
              <w:bottom w:w="110" w:type="dxa"/>
              <w:end w:w="90" w:type="dxa"/>
            </w:tcMar>
            <w:vAlign w:val="center"/>
          </w:tcPr>
          <w:p>
            <w:pPr>
              <w:spacing w:before="0" w:after="0" w:line="240" w:lineRule="auto"/>
            </w:pPr>
            <w:r>
              <w:rPr>
                <w:sz w:val="19"/>
              </w:rPr>
              <w:t>$133.16</w:t>
            </w:r>
          </w:p>
        </w:tc>
        <w:tc>
          <w:tcPr>
            <w:tcW w:type="dxa" w:w="2494"/>
            <w:shd w:fill="FFFFFF"/>
            <w:tcMar>
              <w:top w:w="110" w:type="dxa"/>
              <w:start w:w="90" w:type="dxa"/>
              <w:bottom w:w="110" w:type="dxa"/>
              <w:end w:w="90" w:type="dxa"/>
            </w:tcMar>
            <w:vAlign w:val="center"/>
          </w:tcPr>
          <w:p>
            <w:pPr>
              <w:spacing w:before="0" w:after="0" w:line="240" w:lineRule="auto"/>
            </w:pPr>
            <w:r>
              <w:rPr>
                <w:sz w:val="19"/>
              </w:rPr>
              <w:t>$15.8bn</w:t>
            </w:r>
          </w:p>
        </w:tc>
        <w:tc>
          <w:tcPr>
            <w:tcW w:type="dxa" w:w="2494"/>
            <w:shd w:fill="FFFFFF"/>
            <w:tcMar>
              <w:top w:w="110" w:type="dxa"/>
              <w:start w:w="90" w:type="dxa"/>
              <w:bottom w:w="110" w:type="dxa"/>
              <w:end w:w="90" w:type="dxa"/>
            </w:tcMar>
            <w:vAlign w:val="center"/>
          </w:tcPr>
          <w:p>
            <w:pPr>
              <w:spacing w:before="0" w:after="0" w:line="240" w:lineRule="auto"/>
            </w:pPr>
            <w:r>
              <w:rPr>
                <w:sz w:val="19"/>
              </w:rPr>
              <w:t>23.4x</w:t>
            </w:r>
          </w:p>
        </w:tc>
        <w:tc>
          <w:tcPr>
            <w:tcW w:type="dxa" w:w="2494"/>
            <w:shd w:fill="FFFFFF"/>
            <w:tcMar>
              <w:top w:w="110" w:type="dxa"/>
              <w:start w:w="90" w:type="dxa"/>
              <w:bottom w:w="110" w:type="dxa"/>
              <w:end w:w="90" w:type="dxa"/>
            </w:tcMar>
            <w:vAlign w:val="center"/>
          </w:tcPr>
          <w:p>
            <w:pPr>
              <w:spacing w:before="0" w:after="0" w:line="240" w:lineRule="auto"/>
            </w:pPr>
            <w:r>
              <w:rPr>
                <w:b/>
                <w:color w:val="2F5496"/>
                <w:sz w:val="19"/>
              </w:rPr>
              <w:t>High</w:t>
            </w:r>
          </w:p>
        </w:tc>
      </w:tr>
    </w:tbl>
    <w:p>
      <w:pPr>
        <w:pStyle w:val="Heading2"/>
        <w:spacing w:before="120" w:after="40" w:line="240" w:lineRule="auto"/>
      </w:pPr>
      <w:r>
        <w:t>Why it benefits from AI roll-out</w:t>
      </w:r>
    </w:p>
    <w:p>
      <w:pPr>
        <w:spacing w:before="0" w:after="120" w:line="259" w:lineRule="auto"/>
      </w:pPr>
      <w:r>
        <w:t>nVent sits in one of the least glamorous but most unavoidable AI bottlenecks: power distribution, connection, enclosure and liquid cooling. As AI clusters scale, every rack still needs protected power paths, cable management, thermal control and site-level electrical build-out.</w:t>
      </w:r>
    </w:p>
    <w:p>
      <w:pPr>
        <w:pStyle w:val="Heading2"/>
        <w:spacing w:before="120" w:after="40" w:line="240" w:lineRule="auto"/>
      </w:pPr>
      <w:r>
        <w:t>Why it makes the watchlist now</w:t>
      </w:r>
    </w:p>
    <w:p>
      <w:pPr>
        <w:spacing w:before="0" w:after="120" w:line="259" w:lineRule="auto"/>
      </w:pPr>
      <w:r>
        <w:t>This is the cleanest 'AI rollout without glamour-stock pricing' name in the group. The market understands the power story, but nVent still trades more like an industrial compounder than a pure AI proxy.</w:t>
      </w:r>
    </w:p>
    <w:p>
      <w:pPr>
        <w:pStyle w:val="Heading2"/>
        <w:spacing w:before="120" w:after="40" w:line="240" w:lineRule="auto"/>
      </w:pPr>
      <w:r>
        <w:t>Company fundamentals to monitor</w:t>
      </w:r>
    </w:p>
    <w:p>
      <w:pPr>
        <w:spacing w:before="0" w:after="20" w:line="247" w:lineRule="auto"/>
        <w:ind w:left="198"/>
      </w:pPr>
      <w:r>
        <w:rPr>
          <w:b/>
        </w:rPr>
        <w:t xml:space="preserve">• </w:t>
      </w:r>
      <w:r>
        <w:t>Investor Day guidance points to 10%-13% organic sales CAGR and 17%-20% adjusted EPS CAGR over the next three years.</w:t>
      </w:r>
    </w:p>
    <w:p>
      <w:pPr>
        <w:spacing w:before="0" w:after="20" w:line="247" w:lineRule="auto"/>
        <w:ind w:left="198"/>
      </w:pPr>
      <w:r>
        <w:rPr>
          <w:b/>
        </w:rPr>
        <w:t xml:space="preserve">• </w:t>
      </w:r>
      <w:r>
        <w:t>Management said Q1 2026 was trending ahead of initial expectations, helped by data-centre and utility exposure.</w:t>
      </w:r>
    </w:p>
    <w:p>
      <w:pPr>
        <w:spacing w:before="0" w:after="20" w:line="247" w:lineRule="auto"/>
        <w:ind w:left="198"/>
      </w:pPr>
      <w:r>
        <w:rPr>
          <w:b/>
        </w:rPr>
        <w:t xml:space="preserve">• </w:t>
      </w:r>
      <w:r>
        <w:t>Direct exposure to liquid-cooling hardware gives it a second leg beyond ordinary electrical products.</w:t>
      </w:r>
    </w:p>
    <w:p>
      <w:pPr>
        <w:pStyle w:val="Heading2"/>
        <w:spacing w:before="120" w:after="40" w:line="240" w:lineRule="auto"/>
      </w:pPr>
      <w:r>
        <w:t>Entry zones and dealing discipline</w:t>
      </w:r>
    </w:p>
    <w:tbl>
      <w:tblPr>
        <w:tblW w:type="auto" w:w="0"/>
        <w:jc w:val="left"/>
        <w:tblLook w:firstColumn="1" w:firstRow="1" w:lastColumn="0" w:lastRow="0" w:noHBand="0" w:noVBand="1" w:val="04A0"/>
      </w:tblPr>
      <w:tblGrid>
        <w:gridCol w:w="4989"/>
        <w:gridCol w:w="4989"/>
      </w:tblGrid>
      <w:tr>
        <w:tc>
          <w:tcPr>
            <w:tcW w:type="dxa" w:w="4989"/>
            <w:tcMar>
              <w:top w:w="110" w:type="dxa"/>
              <w:start w:w="100" w:type="dxa"/>
              <w:bottom w:w="110" w:type="dxa"/>
              <w:end w:w="100" w:type="dxa"/>
            </w:tcMar>
            <w:vAlign w:val="center"/>
            <w:shd w:fill="D9EAF7"/>
          </w:tcPr>
          <w:p>
            <w:pPr>
              <w:spacing w:before="0" w:after="0" w:line="240" w:lineRule="auto"/>
            </w:pPr>
            <w:r>
              <w:rPr>
                <w:b/>
                <w:color w:val="2F5496"/>
                <w:sz w:val="19"/>
              </w:rPr>
              <w:t>Accumulation zone</w:t>
            </w:r>
          </w:p>
        </w:tc>
        <w:tc>
          <w:tcPr>
            <w:tcW w:type="dxa" w:w="4989"/>
            <w:tcMar>
              <w:top w:w="110" w:type="dxa"/>
              <w:start w:w="100" w:type="dxa"/>
              <w:bottom w:w="110" w:type="dxa"/>
              <w:end w:w="100" w:type="dxa"/>
            </w:tcMar>
            <w:vAlign w:val="center"/>
            <w:shd w:fill="FFFFFF"/>
          </w:tcPr>
          <w:p>
            <w:pPr>
              <w:spacing w:before="0" w:after="0" w:line="240" w:lineRule="auto"/>
            </w:pPr>
            <w:r>
              <w:rPr>
                <w:sz w:val="19"/>
              </w:rPr>
              <w:t>$126-$134</w:t>
            </w:r>
          </w:p>
        </w:tc>
      </w:tr>
      <w:tr>
        <w:tc>
          <w:tcPr>
            <w:tcW w:type="dxa" w:w="4989"/>
            <w:tcMar>
              <w:top w:w="110" w:type="dxa"/>
              <w:start w:w="100" w:type="dxa"/>
              <w:bottom w:w="110" w:type="dxa"/>
              <w:end w:w="100" w:type="dxa"/>
            </w:tcMar>
            <w:vAlign w:val="center"/>
            <w:shd w:fill="D9EAF7"/>
          </w:tcPr>
          <w:p>
            <w:pPr>
              <w:spacing w:before="0" w:after="0" w:line="240" w:lineRule="auto"/>
            </w:pPr>
            <w:r>
              <w:rPr>
                <w:b/>
                <w:color w:val="2F5496"/>
                <w:sz w:val="19"/>
              </w:rPr>
              <w:t>Better value zone</w:t>
            </w:r>
          </w:p>
        </w:tc>
        <w:tc>
          <w:tcPr>
            <w:tcW w:type="dxa" w:w="4989"/>
            <w:tcMar>
              <w:top w:w="110" w:type="dxa"/>
              <w:start w:w="100" w:type="dxa"/>
              <w:bottom w:w="110" w:type="dxa"/>
              <w:end w:w="100" w:type="dxa"/>
            </w:tcMar>
            <w:vAlign w:val="center"/>
            <w:shd w:fill="FFFFFF"/>
          </w:tcPr>
          <w:p>
            <w:pPr>
              <w:spacing w:before="0" w:after="0" w:line="240" w:lineRule="auto"/>
            </w:pPr>
            <w:r>
              <w:rPr>
                <w:sz w:val="19"/>
              </w:rPr>
              <w:t>$118-$125</w:t>
            </w:r>
          </w:p>
        </w:tc>
      </w:tr>
      <w:tr>
        <w:tc>
          <w:tcPr>
            <w:tcW w:type="dxa" w:w="4989"/>
            <w:tcMar>
              <w:top w:w="110" w:type="dxa"/>
              <w:start w:w="100" w:type="dxa"/>
              <w:bottom w:w="110" w:type="dxa"/>
              <w:end w:w="100" w:type="dxa"/>
            </w:tcMar>
            <w:vAlign w:val="center"/>
            <w:shd w:fill="D9EAF7"/>
          </w:tcPr>
          <w:p>
            <w:pPr>
              <w:spacing w:before="0" w:after="0" w:line="240" w:lineRule="auto"/>
            </w:pPr>
            <w:r>
              <w:rPr>
                <w:b/>
                <w:color w:val="2F5496"/>
                <w:sz w:val="19"/>
              </w:rPr>
              <w:t>Thesis break / hard caution level</w:t>
            </w:r>
          </w:p>
        </w:tc>
        <w:tc>
          <w:tcPr>
            <w:tcW w:type="dxa" w:w="4989"/>
            <w:tcMar>
              <w:top w:w="110" w:type="dxa"/>
              <w:start w:w="100" w:type="dxa"/>
              <w:bottom w:w="110" w:type="dxa"/>
              <w:end w:w="100" w:type="dxa"/>
            </w:tcMar>
            <w:vAlign w:val="center"/>
            <w:shd w:fill="FFFFFF"/>
          </w:tcPr>
          <w:p>
            <w:pPr>
              <w:spacing w:before="0" w:after="0" w:line="240" w:lineRule="auto"/>
            </w:pPr>
            <w:r>
              <w:rPr>
                <w:sz w:val="19"/>
              </w:rPr>
              <w:t>Below $112 on weak orders or cooling slowdown</w:t>
            </w:r>
          </w:p>
        </w:tc>
      </w:tr>
      <w:tr>
        <w:tc>
          <w:tcPr>
            <w:tcW w:type="dxa" w:w="4989"/>
            <w:tcMar>
              <w:top w:w="110" w:type="dxa"/>
              <w:start w:w="100" w:type="dxa"/>
              <w:bottom w:w="110" w:type="dxa"/>
              <w:end w:w="100" w:type="dxa"/>
            </w:tcMar>
            <w:vAlign w:val="center"/>
            <w:shd w:fill="EAF2F8"/>
          </w:tcPr>
          <w:p>
            <w:pPr>
              <w:spacing w:before="0" w:after="0" w:line="240" w:lineRule="auto"/>
            </w:pPr>
            <w:r>
              <w:rPr>
                <w:b/>
                <w:color w:val="2F5496"/>
                <w:sz w:val="19"/>
              </w:rPr>
              <w:t>Suggested approach</w:t>
            </w:r>
          </w:p>
        </w:tc>
        <w:tc>
          <w:tcPr>
            <w:tcW w:type="dxa" w:w="4989"/>
            <w:tcMar>
              <w:top w:w="110" w:type="dxa"/>
              <w:start w:w="100" w:type="dxa"/>
              <w:bottom w:w="110" w:type="dxa"/>
              <w:end w:w="100" w:type="dxa"/>
            </w:tcMar>
            <w:vAlign w:val="center"/>
            <w:shd w:fill="FFFFFF"/>
          </w:tcPr>
          <w:p>
            <w:pPr>
              <w:spacing w:before="0" w:after="0" w:line="240" w:lineRule="auto"/>
            </w:pPr>
            <w:r>
              <w:rPr>
                <w:sz w:val="19"/>
              </w:rPr>
              <w:t>Build in tranches rather than one order. Favour weakness into support or post-earnings dislocation over momentum chasing.</w:t>
            </w:r>
          </w:p>
        </w:tc>
      </w:tr>
    </w:tbl>
    <w:p>
      <w:pPr>
        <w:pStyle w:val="Heading2"/>
        <w:spacing w:before="120" w:after="40" w:line="240" w:lineRule="auto"/>
      </w:pPr>
      <w:r>
        <w:t>Catalysts and risks</w:t>
      </w:r>
    </w:p>
    <w:tbl>
      <w:tblPr>
        <w:tblW w:type="auto" w:w="0"/>
        <w:jc w:val="center"/>
        <w:tblLook w:firstColumn="1" w:firstRow="1" w:lastColumn="0" w:lastRow="0" w:noHBand="0" w:noVBand="1" w:val="04A0"/>
      </w:tblPr>
      <w:tblGrid>
        <w:gridCol w:w="4989"/>
        <w:gridCol w:w="4989"/>
      </w:tblGrid>
      <w:tr>
        <w:tc>
          <w:tcPr>
            <w:tcW w:type="dxa" w:w="4989"/>
            <w:shd w:fill="EAF2F8"/>
            <w:tcMar>
              <w:top w:w="130" w:type="dxa"/>
              <w:start w:w="120" w:type="dxa"/>
              <w:bottom w:w="130" w:type="dxa"/>
              <w:end w:w="120" w:type="dxa"/>
            </w:tcMar>
          </w:tcPr>
          <w:p>
            <w:pPr>
              <w:spacing w:before="0" w:after="40" w:line="240" w:lineRule="auto"/>
            </w:pPr>
            <w:r/>
            <w:r>
              <w:rPr>
                <w:b/>
                <w:color w:val="2F5496"/>
                <w:sz w:val="20"/>
              </w:rPr>
              <w:t>Upside catalysts</w:t>
            </w:r>
          </w:p>
          <w:p>
            <w:pPr>
              <w:spacing w:before="0" w:after="20" w:line="247" w:lineRule="auto"/>
              <w:ind w:left="142"/>
            </w:pPr>
            <w:r>
              <w:rPr>
                <w:b/>
              </w:rPr>
              <w:t xml:space="preserve">• </w:t>
            </w:r>
            <w:r>
              <w:t>Further evidence of data-centre order growth</w:t>
            </w:r>
          </w:p>
          <w:p>
            <w:pPr>
              <w:spacing w:before="0" w:after="20" w:line="247" w:lineRule="auto"/>
              <w:ind w:left="142"/>
            </w:pPr>
            <w:r>
              <w:rPr>
                <w:b/>
              </w:rPr>
              <w:t xml:space="preserve">• </w:t>
            </w:r>
            <w:r>
              <w:t>Margin expansion from portfolio mix and cooling products</w:t>
            </w:r>
          </w:p>
          <w:p>
            <w:pPr>
              <w:spacing w:before="0" w:after="20" w:line="247" w:lineRule="auto"/>
              <w:ind w:left="142"/>
            </w:pPr>
            <w:r>
              <w:rPr>
                <w:b/>
              </w:rPr>
              <w:t xml:space="preserve">• </w:t>
            </w:r>
            <w:r>
              <w:t>Utility and grid-spend tailwind alongside AI build-out</w:t>
            </w:r>
          </w:p>
        </w:tc>
        <w:tc>
          <w:tcPr>
            <w:tcW w:type="dxa" w:w="4989"/>
            <w:shd w:fill="F4F6F8"/>
            <w:tcMar>
              <w:top w:w="130" w:type="dxa"/>
              <w:start w:w="120" w:type="dxa"/>
              <w:bottom w:w="130" w:type="dxa"/>
              <w:end w:w="120" w:type="dxa"/>
            </w:tcMar>
          </w:tcPr>
          <w:p>
            <w:pPr>
              <w:spacing w:before="0" w:after="40" w:line="240" w:lineRule="auto"/>
            </w:pPr>
            <w:r/>
            <w:r>
              <w:rPr>
                <w:b/>
                <w:color w:val="2F5496"/>
                <w:sz w:val="20"/>
              </w:rPr>
              <w:t>Principal risks</w:t>
            </w:r>
          </w:p>
          <w:p>
            <w:pPr>
              <w:spacing w:before="0" w:after="20" w:line="247" w:lineRule="auto"/>
              <w:ind w:left="142"/>
            </w:pPr>
            <w:r>
              <w:rPr>
                <w:b/>
              </w:rPr>
              <w:t xml:space="preserve">• </w:t>
            </w:r>
            <w:r>
              <w:t>Industrial slowdown hurting general demand</w:t>
            </w:r>
          </w:p>
          <w:p>
            <w:pPr>
              <w:spacing w:before="0" w:after="20" w:line="247" w:lineRule="auto"/>
              <w:ind w:left="142"/>
            </w:pPr>
            <w:r>
              <w:rPr>
                <w:b/>
              </w:rPr>
              <w:t xml:space="preserve">• </w:t>
            </w:r>
            <w:r>
              <w:t>AI-capex digestion causing short-term order pauses</w:t>
            </w:r>
          </w:p>
          <w:p>
            <w:pPr>
              <w:spacing w:before="0" w:after="20" w:line="247" w:lineRule="auto"/>
              <w:ind w:left="142"/>
            </w:pPr>
            <w:r>
              <w:rPr>
                <w:b/>
              </w:rPr>
              <w:t xml:space="preserve">• </w:t>
            </w:r>
            <w:r>
              <w:t>Cooling enthusiasm running ahead of actual revenue contribution</w:t>
            </w:r>
          </w:p>
        </w:tc>
      </w:tr>
    </w:tbl>
    <w:p>
      <w:pPr>
        <w:pStyle w:val="Heading1"/>
        <w:spacing w:before="200" w:after="40" w:line="240" w:lineRule="auto"/>
      </w:pPr>
      <w:r>
        <w:t>2. Jabil (JBL)</w:t>
      </w:r>
    </w:p>
    <w:p>
      <w:pPr>
        <w:spacing w:before="0" w:after="160" w:line="240" w:lineRule="auto"/>
      </w:pPr>
      <w:r>
        <w:rPr>
          <w:b/>
          <w:color w:val="2F5496"/>
          <w:sz w:val="22"/>
        </w:rPr>
        <w:t>Most underappreciated AI manufacturing play</w:t>
      </w:r>
    </w:p>
    <w:tbl>
      <w:tblPr>
        <w:tblW w:type="auto" w:w="0"/>
        <w:jc w:val="center"/>
        <w:tblLook w:firstColumn="1" w:firstRow="1" w:lastColumn="0" w:lastRow="0" w:noHBand="0" w:noVBand="1" w:val="04A0"/>
      </w:tblPr>
      <w:tblGrid>
        <w:gridCol w:w="2494"/>
        <w:gridCol w:w="2494"/>
        <w:gridCol w:w="2494"/>
        <w:gridCol w:w="2494"/>
      </w:tblGrid>
      <w:tr>
        <w:tc>
          <w:tcPr>
            <w:tcW w:type="dxa" w:w="2494"/>
            <w:shd w:fill="D9EAF7"/>
            <w:tcMar>
              <w:top w:w="110" w:type="dxa"/>
              <w:start w:w="90" w:type="dxa"/>
              <w:bottom w:w="110" w:type="dxa"/>
              <w:end w:w="90" w:type="dxa"/>
            </w:tcMar>
            <w:vAlign w:val="center"/>
          </w:tcPr>
          <w:p>
            <w:pPr>
              <w:spacing w:before="0" w:after="0" w:line="240" w:lineRule="auto"/>
            </w:pPr>
            <w:r>
              <w:rPr>
                <w:b/>
                <w:color w:val="1F4E79"/>
                <w:sz w:val="19"/>
              </w:rPr>
              <w:t>Current price</w:t>
            </w:r>
          </w:p>
        </w:tc>
        <w:tc>
          <w:tcPr>
            <w:tcW w:type="dxa" w:w="2494"/>
            <w:shd w:fill="D9EAF7"/>
            <w:tcMar>
              <w:top w:w="110" w:type="dxa"/>
              <w:start w:w="90" w:type="dxa"/>
              <w:bottom w:w="110" w:type="dxa"/>
              <w:end w:w="90" w:type="dxa"/>
            </w:tcMar>
            <w:vAlign w:val="center"/>
          </w:tcPr>
          <w:p>
            <w:pPr>
              <w:spacing w:before="0" w:after="0" w:line="240" w:lineRule="auto"/>
            </w:pPr>
            <w:r>
              <w:rPr>
                <w:b/>
                <w:color w:val="1F4E79"/>
                <w:sz w:val="19"/>
              </w:rPr>
              <w:t>Market cap</w:t>
            </w:r>
          </w:p>
        </w:tc>
        <w:tc>
          <w:tcPr>
            <w:tcW w:type="dxa" w:w="2494"/>
            <w:shd w:fill="D9EAF7"/>
            <w:tcMar>
              <w:top w:w="110" w:type="dxa"/>
              <w:start w:w="90" w:type="dxa"/>
              <w:bottom w:w="110" w:type="dxa"/>
              <w:end w:w="90" w:type="dxa"/>
            </w:tcMar>
            <w:vAlign w:val="center"/>
          </w:tcPr>
          <w:p>
            <w:pPr>
              <w:spacing w:before="0" w:after="0" w:line="240" w:lineRule="auto"/>
            </w:pPr>
            <w:r>
              <w:rPr>
                <w:b/>
                <w:color w:val="1F4E79"/>
                <w:sz w:val="19"/>
              </w:rPr>
              <w:t>Trailing P/E</w:t>
            </w:r>
          </w:p>
        </w:tc>
        <w:tc>
          <w:tcPr>
            <w:tcW w:type="dxa" w:w="2494"/>
            <w:shd w:fill="D9EAF7"/>
            <w:tcMar>
              <w:top w:w="110" w:type="dxa"/>
              <w:start w:w="90" w:type="dxa"/>
              <w:bottom w:w="110" w:type="dxa"/>
              <w:end w:w="90" w:type="dxa"/>
            </w:tcMar>
            <w:vAlign w:val="center"/>
          </w:tcPr>
          <w:p>
            <w:pPr>
              <w:spacing w:before="0" w:after="0" w:line="240" w:lineRule="auto"/>
            </w:pPr>
            <w:r>
              <w:rPr>
                <w:b/>
                <w:color w:val="1F4E79"/>
                <w:sz w:val="19"/>
              </w:rPr>
              <w:t>Conviction</w:t>
            </w:r>
          </w:p>
        </w:tc>
      </w:tr>
      <w:tr>
        <w:tc>
          <w:tcPr>
            <w:tcW w:type="dxa" w:w="2494"/>
            <w:shd w:fill="FFFFFF"/>
            <w:tcMar>
              <w:top w:w="110" w:type="dxa"/>
              <w:start w:w="90" w:type="dxa"/>
              <w:bottom w:w="110" w:type="dxa"/>
              <w:end w:w="90" w:type="dxa"/>
            </w:tcMar>
            <w:vAlign w:val="center"/>
          </w:tcPr>
          <w:p>
            <w:pPr>
              <w:spacing w:before="0" w:after="0" w:line="240" w:lineRule="auto"/>
            </w:pPr>
            <w:r>
              <w:rPr>
                <w:sz w:val="19"/>
              </w:rPr>
              <w:t>$305.37</w:t>
            </w:r>
          </w:p>
        </w:tc>
        <w:tc>
          <w:tcPr>
            <w:tcW w:type="dxa" w:w="2494"/>
            <w:shd w:fill="FFFFFF"/>
            <w:tcMar>
              <w:top w:w="110" w:type="dxa"/>
              <w:start w:w="90" w:type="dxa"/>
              <w:bottom w:w="110" w:type="dxa"/>
              <w:end w:w="90" w:type="dxa"/>
            </w:tcMar>
            <w:vAlign w:val="center"/>
          </w:tcPr>
          <w:p>
            <w:pPr>
              <w:spacing w:before="0" w:after="0" w:line="240" w:lineRule="auto"/>
            </w:pPr>
            <w:r>
              <w:rPr>
                <w:sz w:val="19"/>
              </w:rPr>
              <w:t>$28.0bn</w:t>
            </w:r>
          </w:p>
        </w:tc>
        <w:tc>
          <w:tcPr>
            <w:tcW w:type="dxa" w:w="2494"/>
            <w:shd w:fill="FFFFFF"/>
            <w:tcMar>
              <w:top w:w="110" w:type="dxa"/>
              <w:start w:w="90" w:type="dxa"/>
              <w:bottom w:w="110" w:type="dxa"/>
              <w:end w:w="90" w:type="dxa"/>
            </w:tcMar>
            <w:vAlign w:val="center"/>
          </w:tcPr>
          <w:p>
            <w:pPr>
              <w:spacing w:before="0" w:after="0" w:line="240" w:lineRule="auto"/>
            </w:pPr>
            <w:r>
              <w:rPr>
                <w:sz w:val="19"/>
              </w:rPr>
              <w:t>34.6x</w:t>
            </w:r>
          </w:p>
        </w:tc>
        <w:tc>
          <w:tcPr>
            <w:tcW w:type="dxa" w:w="2494"/>
            <w:shd w:fill="FFFFFF"/>
            <w:tcMar>
              <w:top w:w="110" w:type="dxa"/>
              <w:start w:w="90" w:type="dxa"/>
              <w:bottom w:w="110" w:type="dxa"/>
              <w:end w:w="90" w:type="dxa"/>
            </w:tcMar>
            <w:vAlign w:val="center"/>
          </w:tcPr>
          <w:p>
            <w:pPr>
              <w:spacing w:before="0" w:after="0" w:line="240" w:lineRule="auto"/>
            </w:pPr>
            <w:r>
              <w:rPr>
                <w:b/>
                <w:color w:val="2F5496"/>
                <w:sz w:val="19"/>
              </w:rPr>
              <w:t>High</w:t>
            </w:r>
          </w:p>
        </w:tc>
      </w:tr>
    </w:tbl>
    <w:p>
      <w:pPr>
        <w:pStyle w:val="Heading2"/>
        <w:spacing w:before="120" w:after="40" w:line="240" w:lineRule="auto"/>
      </w:pPr>
      <w:r>
        <w:t>Why it benefits from AI roll-out</w:t>
      </w:r>
    </w:p>
    <w:p>
      <w:pPr>
        <w:spacing w:before="0" w:after="120" w:line="259" w:lineRule="auto"/>
      </w:pPr>
      <w:r>
        <w:t>Jabil is a picks-and-shovels manufacturer for the AI build cycle: server and rack assembly, power management, cloud hardware, networking and optical connectivity. It also offers indirect exposure to photonics without paying a pure-photonics premium.</w:t>
      </w:r>
    </w:p>
    <w:p>
      <w:pPr>
        <w:pStyle w:val="Heading2"/>
        <w:spacing w:before="120" w:after="40" w:line="240" w:lineRule="auto"/>
      </w:pPr>
      <w:r>
        <w:t>Why it makes the watchlist now</w:t>
      </w:r>
    </w:p>
    <w:p>
      <w:pPr>
        <w:spacing w:before="0" w:after="120" w:line="259" w:lineRule="auto"/>
      </w:pPr>
      <w:r>
        <w:t>Jabil still gets misfiled as a generic contract manufacturer despite increasing exposure to AI infrastructure content. That makes it one of the better rerating candidates on this theme.</w:t>
      </w:r>
    </w:p>
    <w:p>
      <w:pPr>
        <w:pStyle w:val="Heading2"/>
        <w:spacing w:before="120" w:after="40" w:line="240" w:lineRule="auto"/>
      </w:pPr>
      <w:r>
        <w:t>Company fundamentals to monitor</w:t>
      </w:r>
    </w:p>
    <w:p>
      <w:pPr>
        <w:spacing w:before="0" w:after="20" w:line="247" w:lineRule="auto"/>
        <w:ind w:left="198"/>
      </w:pPr>
      <w:r>
        <w:rPr>
          <w:b/>
        </w:rPr>
        <w:t xml:space="preserve">• </w:t>
      </w:r>
      <w:r>
        <w:t>Raised FY2026 outlook to about $34bn revenue and $12.25 core EPS.</w:t>
      </w:r>
    </w:p>
    <w:p>
      <w:pPr>
        <w:spacing w:before="0" w:after="20" w:line="247" w:lineRule="auto"/>
        <w:ind w:left="198"/>
      </w:pPr>
      <w:r>
        <w:rPr>
          <w:b/>
        </w:rPr>
        <w:t xml:space="preserve">• </w:t>
      </w:r>
      <w:r>
        <w:t>Demand remains robust across cloud and data-centre infrastructure, networking and communications, and capital equipment.</w:t>
      </w:r>
    </w:p>
    <w:p>
      <w:pPr>
        <w:spacing w:before="0" w:after="20" w:line="247" w:lineRule="auto"/>
        <w:ind w:left="198"/>
      </w:pPr>
      <w:r>
        <w:rPr>
          <w:b/>
        </w:rPr>
        <w:t xml:space="preserve">• </w:t>
      </w:r>
      <w:r>
        <w:t>Acquired Hanley Energy to deepen AI data-centre power-management exposure and committed fresh US manufacturing capacity.</w:t>
      </w:r>
    </w:p>
    <w:p>
      <w:pPr>
        <w:pStyle w:val="Heading2"/>
        <w:spacing w:before="120" w:after="40" w:line="240" w:lineRule="auto"/>
      </w:pPr>
      <w:r>
        <w:t>Entry zones and dealing discipline</w:t>
      </w:r>
    </w:p>
    <w:tbl>
      <w:tblPr>
        <w:tblW w:type="auto" w:w="0"/>
        <w:jc w:val="left"/>
        <w:tblLook w:firstColumn="1" w:firstRow="1" w:lastColumn="0" w:lastRow="0" w:noHBand="0" w:noVBand="1" w:val="04A0"/>
      </w:tblPr>
      <w:tblGrid>
        <w:gridCol w:w="4989"/>
        <w:gridCol w:w="4989"/>
      </w:tblGrid>
      <w:tr>
        <w:tc>
          <w:tcPr>
            <w:tcW w:type="dxa" w:w="4989"/>
            <w:tcMar>
              <w:top w:w="110" w:type="dxa"/>
              <w:start w:w="100" w:type="dxa"/>
              <w:bottom w:w="110" w:type="dxa"/>
              <w:end w:w="100" w:type="dxa"/>
            </w:tcMar>
            <w:vAlign w:val="center"/>
            <w:shd w:fill="D9EAF7"/>
          </w:tcPr>
          <w:p>
            <w:pPr>
              <w:spacing w:before="0" w:after="0" w:line="240" w:lineRule="auto"/>
            </w:pPr>
            <w:r>
              <w:rPr>
                <w:b/>
                <w:color w:val="2F5496"/>
                <w:sz w:val="19"/>
              </w:rPr>
              <w:t>Accumulation zone</w:t>
            </w:r>
          </w:p>
        </w:tc>
        <w:tc>
          <w:tcPr>
            <w:tcW w:type="dxa" w:w="4989"/>
            <w:tcMar>
              <w:top w:w="110" w:type="dxa"/>
              <w:start w:w="100" w:type="dxa"/>
              <w:bottom w:w="110" w:type="dxa"/>
              <w:end w:w="100" w:type="dxa"/>
            </w:tcMar>
            <w:vAlign w:val="center"/>
            <w:shd w:fill="FFFFFF"/>
          </w:tcPr>
          <w:p>
            <w:pPr>
              <w:spacing w:before="0" w:after="0" w:line="240" w:lineRule="auto"/>
            </w:pPr>
            <w:r>
              <w:rPr>
                <w:sz w:val="19"/>
              </w:rPr>
              <w:t>$292-$308</w:t>
            </w:r>
          </w:p>
        </w:tc>
      </w:tr>
      <w:tr>
        <w:tc>
          <w:tcPr>
            <w:tcW w:type="dxa" w:w="4989"/>
            <w:tcMar>
              <w:top w:w="110" w:type="dxa"/>
              <w:start w:w="100" w:type="dxa"/>
              <w:bottom w:w="110" w:type="dxa"/>
              <w:end w:w="100" w:type="dxa"/>
            </w:tcMar>
            <w:vAlign w:val="center"/>
            <w:shd w:fill="D9EAF7"/>
          </w:tcPr>
          <w:p>
            <w:pPr>
              <w:spacing w:before="0" w:after="0" w:line="240" w:lineRule="auto"/>
            </w:pPr>
            <w:r>
              <w:rPr>
                <w:b/>
                <w:color w:val="2F5496"/>
                <w:sz w:val="19"/>
              </w:rPr>
              <w:t>Better value zone</w:t>
            </w:r>
          </w:p>
        </w:tc>
        <w:tc>
          <w:tcPr>
            <w:tcW w:type="dxa" w:w="4989"/>
            <w:tcMar>
              <w:top w:w="110" w:type="dxa"/>
              <w:start w:w="100" w:type="dxa"/>
              <w:bottom w:w="110" w:type="dxa"/>
              <w:end w:w="100" w:type="dxa"/>
            </w:tcMar>
            <w:vAlign w:val="center"/>
            <w:shd w:fill="FFFFFF"/>
          </w:tcPr>
          <w:p>
            <w:pPr>
              <w:spacing w:before="0" w:after="0" w:line="240" w:lineRule="auto"/>
            </w:pPr>
            <w:r>
              <w:rPr>
                <w:sz w:val="19"/>
              </w:rPr>
              <w:t>$270-$290</w:t>
            </w:r>
          </w:p>
        </w:tc>
      </w:tr>
      <w:tr>
        <w:tc>
          <w:tcPr>
            <w:tcW w:type="dxa" w:w="4989"/>
            <w:tcMar>
              <w:top w:w="110" w:type="dxa"/>
              <w:start w:w="100" w:type="dxa"/>
              <w:bottom w:w="110" w:type="dxa"/>
              <w:end w:w="100" w:type="dxa"/>
            </w:tcMar>
            <w:vAlign w:val="center"/>
            <w:shd w:fill="D9EAF7"/>
          </w:tcPr>
          <w:p>
            <w:pPr>
              <w:spacing w:before="0" w:after="0" w:line="240" w:lineRule="auto"/>
            </w:pPr>
            <w:r>
              <w:rPr>
                <w:b/>
                <w:color w:val="2F5496"/>
                <w:sz w:val="19"/>
              </w:rPr>
              <w:t>Thesis break / hard caution level</w:t>
            </w:r>
          </w:p>
        </w:tc>
        <w:tc>
          <w:tcPr>
            <w:tcW w:type="dxa" w:w="4989"/>
            <w:tcMar>
              <w:top w:w="110" w:type="dxa"/>
              <w:start w:w="100" w:type="dxa"/>
              <w:bottom w:w="110" w:type="dxa"/>
              <w:end w:w="100" w:type="dxa"/>
            </w:tcMar>
            <w:vAlign w:val="center"/>
            <w:shd w:fill="FFFFFF"/>
          </w:tcPr>
          <w:p>
            <w:pPr>
              <w:spacing w:before="0" w:after="0" w:line="240" w:lineRule="auto"/>
            </w:pPr>
            <w:r>
              <w:rPr>
                <w:sz w:val="19"/>
              </w:rPr>
              <w:t>Below $255 if cloud hardware demand rolls over materially</w:t>
            </w:r>
          </w:p>
        </w:tc>
      </w:tr>
      <w:tr>
        <w:tc>
          <w:tcPr>
            <w:tcW w:type="dxa" w:w="4989"/>
            <w:tcMar>
              <w:top w:w="110" w:type="dxa"/>
              <w:start w:w="100" w:type="dxa"/>
              <w:bottom w:w="110" w:type="dxa"/>
              <w:end w:w="100" w:type="dxa"/>
            </w:tcMar>
            <w:vAlign w:val="center"/>
            <w:shd w:fill="EAF2F8"/>
          </w:tcPr>
          <w:p>
            <w:pPr>
              <w:spacing w:before="0" w:after="0" w:line="240" w:lineRule="auto"/>
            </w:pPr>
            <w:r>
              <w:rPr>
                <w:b/>
                <w:color w:val="2F5496"/>
                <w:sz w:val="19"/>
              </w:rPr>
              <w:t>Suggested approach</w:t>
            </w:r>
          </w:p>
        </w:tc>
        <w:tc>
          <w:tcPr>
            <w:tcW w:type="dxa" w:w="4989"/>
            <w:tcMar>
              <w:top w:w="110" w:type="dxa"/>
              <w:start w:w="100" w:type="dxa"/>
              <w:bottom w:w="110" w:type="dxa"/>
              <w:end w:w="100" w:type="dxa"/>
            </w:tcMar>
            <w:vAlign w:val="center"/>
            <w:shd w:fill="FFFFFF"/>
          </w:tcPr>
          <w:p>
            <w:pPr>
              <w:spacing w:before="0" w:after="0" w:line="240" w:lineRule="auto"/>
            </w:pPr>
            <w:r>
              <w:rPr>
                <w:sz w:val="19"/>
              </w:rPr>
              <w:t>Build in tranches rather than one order. Favour weakness into support or post-earnings dislocation over momentum chasing.</w:t>
            </w:r>
          </w:p>
        </w:tc>
      </w:tr>
    </w:tbl>
    <w:p>
      <w:pPr>
        <w:pStyle w:val="Heading2"/>
        <w:spacing w:before="120" w:after="40" w:line="240" w:lineRule="auto"/>
      </w:pPr>
      <w:r>
        <w:t>Catalysts and risks</w:t>
      </w:r>
    </w:p>
    <w:tbl>
      <w:tblPr>
        <w:tblW w:type="auto" w:w="0"/>
        <w:jc w:val="center"/>
        <w:tblLook w:firstColumn="1" w:firstRow="1" w:lastColumn="0" w:lastRow="0" w:noHBand="0" w:noVBand="1" w:val="04A0"/>
      </w:tblPr>
      <w:tblGrid>
        <w:gridCol w:w="4989"/>
        <w:gridCol w:w="4989"/>
      </w:tblGrid>
      <w:tr>
        <w:tc>
          <w:tcPr>
            <w:tcW w:type="dxa" w:w="4989"/>
            <w:shd w:fill="EAF2F8"/>
            <w:tcMar>
              <w:top w:w="130" w:type="dxa"/>
              <w:start w:w="120" w:type="dxa"/>
              <w:bottom w:w="130" w:type="dxa"/>
              <w:end w:w="120" w:type="dxa"/>
            </w:tcMar>
          </w:tcPr>
          <w:p>
            <w:pPr>
              <w:spacing w:before="0" w:after="40" w:line="240" w:lineRule="auto"/>
            </w:pPr>
            <w:r/>
            <w:r>
              <w:rPr>
                <w:b/>
                <w:color w:val="2F5496"/>
                <w:sz w:val="20"/>
              </w:rPr>
              <w:t>Upside catalysts</w:t>
            </w:r>
          </w:p>
          <w:p>
            <w:pPr>
              <w:spacing w:before="0" w:after="20" w:line="247" w:lineRule="auto"/>
              <w:ind w:left="142"/>
            </w:pPr>
            <w:r>
              <w:rPr>
                <w:b/>
              </w:rPr>
              <w:t xml:space="preserve">• </w:t>
            </w:r>
            <w:r>
              <w:t>Further guidance raises</w:t>
            </w:r>
          </w:p>
          <w:p>
            <w:pPr>
              <w:spacing w:before="0" w:after="20" w:line="247" w:lineRule="auto"/>
              <w:ind w:left="142"/>
            </w:pPr>
            <w:r>
              <w:rPr>
                <w:b/>
              </w:rPr>
              <w:t xml:space="preserve">• </w:t>
            </w:r>
            <w:r>
              <w:t>More disclosed AI/cloud customer wins</w:t>
            </w:r>
          </w:p>
          <w:p>
            <w:pPr>
              <w:spacing w:before="0" w:after="20" w:line="247" w:lineRule="auto"/>
              <w:ind w:left="142"/>
            </w:pPr>
            <w:r>
              <w:rPr>
                <w:b/>
              </w:rPr>
              <w:t xml:space="preserve">• </w:t>
            </w:r>
            <w:r>
              <w:t>Evidence that photonics and power-management mix is expanding</w:t>
            </w:r>
          </w:p>
        </w:tc>
        <w:tc>
          <w:tcPr>
            <w:tcW w:type="dxa" w:w="4989"/>
            <w:shd w:fill="F4F6F8"/>
            <w:tcMar>
              <w:top w:w="130" w:type="dxa"/>
              <w:start w:w="120" w:type="dxa"/>
              <w:bottom w:w="130" w:type="dxa"/>
              <w:end w:w="120" w:type="dxa"/>
            </w:tcMar>
          </w:tcPr>
          <w:p>
            <w:pPr>
              <w:spacing w:before="0" w:after="40" w:line="240" w:lineRule="auto"/>
            </w:pPr>
            <w:r/>
            <w:r>
              <w:rPr>
                <w:b/>
                <w:color w:val="2F5496"/>
                <w:sz w:val="20"/>
              </w:rPr>
              <w:t>Principal risks</w:t>
            </w:r>
          </w:p>
          <w:p>
            <w:pPr>
              <w:spacing w:before="0" w:after="20" w:line="247" w:lineRule="auto"/>
              <w:ind w:left="142"/>
            </w:pPr>
            <w:r>
              <w:rPr>
                <w:b/>
              </w:rPr>
              <w:t xml:space="preserve">• </w:t>
            </w:r>
            <w:r>
              <w:t>Customer concentration</w:t>
            </w:r>
          </w:p>
          <w:p>
            <w:pPr>
              <w:spacing w:before="0" w:after="20" w:line="247" w:lineRule="auto"/>
              <w:ind w:left="142"/>
            </w:pPr>
            <w:r>
              <w:rPr>
                <w:b/>
              </w:rPr>
              <w:t xml:space="preserve">• </w:t>
            </w:r>
            <w:r>
              <w:t>Short-cycle demand swings</w:t>
            </w:r>
          </w:p>
          <w:p>
            <w:pPr>
              <w:spacing w:before="0" w:after="20" w:line="247" w:lineRule="auto"/>
              <w:ind w:left="142"/>
            </w:pPr>
            <w:r>
              <w:rPr>
                <w:b/>
              </w:rPr>
              <w:t xml:space="preserve">• </w:t>
            </w:r>
            <w:r>
              <w:t>Market may still apply a low multiple if it treats JBL as cyclical manufacturing</w:t>
            </w:r>
          </w:p>
        </w:tc>
      </w:tr>
    </w:tbl>
    <w:p>
      <w:pPr>
        <w:pStyle w:val="Heading1"/>
        <w:spacing w:before="200" w:after="40" w:line="240" w:lineRule="auto"/>
      </w:pPr>
      <w:r>
        <w:t>3. Hubbell (HUBB)</w:t>
      </w:r>
    </w:p>
    <w:p>
      <w:pPr>
        <w:spacing w:before="0" w:after="160" w:line="240" w:lineRule="auto"/>
      </w:pPr>
      <w:r>
        <w:rPr>
          <w:b/>
          <w:color w:val="2F5496"/>
          <w:sz w:val="22"/>
        </w:rPr>
        <w:t>Steadier AI power compounder</w:t>
      </w:r>
    </w:p>
    <w:tbl>
      <w:tblPr>
        <w:tblW w:type="auto" w:w="0"/>
        <w:jc w:val="center"/>
        <w:tblLook w:firstColumn="1" w:firstRow="1" w:lastColumn="0" w:lastRow="0" w:noHBand="0" w:noVBand="1" w:val="04A0"/>
      </w:tblPr>
      <w:tblGrid>
        <w:gridCol w:w="2494"/>
        <w:gridCol w:w="2494"/>
        <w:gridCol w:w="2494"/>
        <w:gridCol w:w="2494"/>
      </w:tblGrid>
      <w:tr>
        <w:tc>
          <w:tcPr>
            <w:tcW w:type="dxa" w:w="2494"/>
            <w:shd w:fill="D9EAF7"/>
            <w:tcMar>
              <w:top w:w="110" w:type="dxa"/>
              <w:start w:w="90" w:type="dxa"/>
              <w:bottom w:w="110" w:type="dxa"/>
              <w:end w:w="90" w:type="dxa"/>
            </w:tcMar>
            <w:vAlign w:val="center"/>
          </w:tcPr>
          <w:p>
            <w:pPr>
              <w:spacing w:before="0" w:after="0" w:line="240" w:lineRule="auto"/>
            </w:pPr>
            <w:r>
              <w:rPr>
                <w:b/>
                <w:color w:val="1F4E79"/>
                <w:sz w:val="19"/>
              </w:rPr>
              <w:t>Current price</w:t>
            </w:r>
          </w:p>
        </w:tc>
        <w:tc>
          <w:tcPr>
            <w:tcW w:type="dxa" w:w="2494"/>
            <w:shd w:fill="D9EAF7"/>
            <w:tcMar>
              <w:top w:w="110" w:type="dxa"/>
              <w:start w:w="90" w:type="dxa"/>
              <w:bottom w:w="110" w:type="dxa"/>
              <w:end w:w="90" w:type="dxa"/>
            </w:tcMar>
            <w:vAlign w:val="center"/>
          </w:tcPr>
          <w:p>
            <w:pPr>
              <w:spacing w:before="0" w:after="0" w:line="240" w:lineRule="auto"/>
            </w:pPr>
            <w:r>
              <w:rPr>
                <w:b/>
                <w:color w:val="1F4E79"/>
                <w:sz w:val="19"/>
              </w:rPr>
              <w:t>Market cap</w:t>
            </w:r>
          </w:p>
        </w:tc>
        <w:tc>
          <w:tcPr>
            <w:tcW w:type="dxa" w:w="2494"/>
            <w:shd w:fill="D9EAF7"/>
            <w:tcMar>
              <w:top w:w="110" w:type="dxa"/>
              <w:start w:w="90" w:type="dxa"/>
              <w:bottom w:w="110" w:type="dxa"/>
              <w:end w:w="90" w:type="dxa"/>
            </w:tcMar>
            <w:vAlign w:val="center"/>
          </w:tcPr>
          <w:p>
            <w:pPr>
              <w:spacing w:before="0" w:after="0" w:line="240" w:lineRule="auto"/>
            </w:pPr>
            <w:r>
              <w:rPr>
                <w:b/>
                <w:color w:val="1F4E79"/>
                <w:sz w:val="19"/>
              </w:rPr>
              <w:t>Trailing P/E</w:t>
            </w:r>
          </w:p>
        </w:tc>
        <w:tc>
          <w:tcPr>
            <w:tcW w:type="dxa" w:w="2494"/>
            <w:shd w:fill="D9EAF7"/>
            <w:tcMar>
              <w:top w:w="110" w:type="dxa"/>
              <w:start w:w="90" w:type="dxa"/>
              <w:bottom w:w="110" w:type="dxa"/>
              <w:end w:w="90" w:type="dxa"/>
            </w:tcMar>
            <w:vAlign w:val="center"/>
          </w:tcPr>
          <w:p>
            <w:pPr>
              <w:spacing w:before="0" w:after="0" w:line="240" w:lineRule="auto"/>
            </w:pPr>
            <w:r>
              <w:rPr>
                <w:b/>
                <w:color w:val="1F4E79"/>
                <w:sz w:val="19"/>
              </w:rPr>
              <w:t>Conviction</w:t>
            </w:r>
          </w:p>
        </w:tc>
      </w:tr>
      <w:tr>
        <w:tc>
          <w:tcPr>
            <w:tcW w:type="dxa" w:w="2494"/>
            <w:shd w:fill="FFFFFF"/>
            <w:tcMar>
              <w:top w:w="110" w:type="dxa"/>
              <w:start w:w="90" w:type="dxa"/>
              <w:bottom w:w="110" w:type="dxa"/>
              <w:end w:w="90" w:type="dxa"/>
            </w:tcMar>
            <w:vAlign w:val="center"/>
          </w:tcPr>
          <w:p>
            <w:pPr>
              <w:spacing w:before="0" w:after="0" w:line="240" w:lineRule="auto"/>
            </w:pPr>
            <w:r>
              <w:rPr>
                <w:sz w:val="19"/>
              </w:rPr>
              <w:t>$539.79</w:t>
            </w:r>
          </w:p>
        </w:tc>
        <w:tc>
          <w:tcPr>
            <w:tcW w:type="dxa" w:w="2494"/>
            <w:shd w:fill="FFFFFF"/>
            <w:tcMar>
              <w:top w:w="110" w:type="dxa"/>
              <w:start w:w="90" w:type="dxa"/>
              <w:bottom w:w="110" w:type="dxa"/>
              <w:end w:w="90" w:type="dxa"/>
            </w:tcMar>
            <w:vAlign w:val="center"/>
          </w:tcPr>
          <w:p>
            <w:pPr>
              <w:spacing w:before="0" w:after="0" w:line="240" w:lineRule="auto"/>
            </w:pPr>
            <w:r>
              <w:rPr>
                <w:sz w:val="19"/>
              </w:rPr>
              <w:t>$22.9bn</w:t>
            </w:r>
          </w:p>
        </w:tc>
        <w:tc>
          <w:tcPr>
            <w:tcW w:type="dxa" w:w="2494"/>
            <w:shd w:fill="FFFFFF"/>
            <w:tcMar>
              <w:top w:w="110" w:type="dxa"/>
              <w:start w:w="90" w:type="dxa"/>
              <w:bottom w:w="110" w:type="dxa"/>
              <w:end w:w="90" w:type="dxa"/>
            </w:tcMar>
            <w:vAlign w:val="center"/>
          </w:tcPr>
          <w:p>
            <w:pPr>
              <w:spacing w:before="0" w:after="0" w:line="240" w:lineRule="auto"/>
            </w:pPr>
            <w:r>
              <w:rPr>
                <w:sz w:val="19"/>
              </w:rPr>
              <w:t>26.9x</w:t>
            </w:r>
          </w:p>
        </w:tc>
        <w:tc>
          <w:tcPr>
            <w:tcW w:type="dxa" w:w="2494"/>
            <w:shd w:fill="FFFFFF"/>
            <w:tcMar>
              <w:top w:w="110" w:type="dxa"/>
              <w:start w:w="90" w:type="dxa"/>
              <w:bottom w:w="110" w:type="dxa"/>
              <w:end w:w="90" w:type="dxa"/>
            </w:tcMar>
            <w:vAlign w:val="center"/>
          </w:tcPr>
          <w:p>
            <w:pPr>
              <w:spacing w:before="0" w:after="0" w:line="240" w:lineRule="auto"/>
            </w:pPr>
            <w:r>
              <w:rPr>
                <w:b/>
                <w:color w:val="2F5496"/>
                <w:sz w:val="19"/>
              </w:rPr>
              <w:t>Medium-High</w:t>
            </w:r>
          </w:p>
        </w:tc>
      </w:tr>
    </w:tbl>
    <w:p>
      <w:pPr>
        <w:pStyle w:val="Heading2"/>
        <w:spacing w:before="120" w:after="40" w:line="240" w:lineRule="auto"/>
      </w:pPr>
      <w:r>
        <w:t>Why it benefits from AI roll-out</w:t>
      </w:r>
    </w:p>
    <w:p>
      <w:pPr>
        <w:spacing w:before="0" w:after="120" w:line="259" w:lineRule="auto"/>
      </w:pPr>
      <w:r>
        <w:t>Hubbell benefits where AI meets physical reality: electrical equipment for data-centre build-outs and utility/grid products needed to energise new capacity. It is less exciting than photonics, but arguably closer to unavoidable spend.</w:t>
      </w:r>
    </w:p>
    <w:p>
      <w:pPr>
        <w:pStyle w:val="Heading2"/>
        <w:spacing w:before="120" w:after="40" w:line="240" w:lineRule="auto"/>
      </w:pPr>
      <w:r>
        <w:t>Why it makes the watchlist now</w:t>
      </w:r>
    </w:p>
    <w:p>
      <w:pPr>
        <w:spacing w:before="0" w:after="120" w:line="259" w:lineRule="auto"/>
      </w:pPr>
      <w:r>
        <w:t>Hubbell is not likely to be the fastest mover, but it is one of the cleaner lower-drama ways to own the AI power bottleneck. Valuation is still more sensible than many AI-labelled names.</w:t>
      </w:r>
    </w:p>
    <w:p>
      <w:pPr>
        <w:pStyle w:val="Heading2"/>
        <w:spacing w:before="120" w:after="40" w:line="240" w:lineRule="auto"/>
      </w:pPr>
      <w:r>
        <w:t>Company fundamentals to monitor</w:t>
      </w:r>
    </w:p>
    <w:p>
      <w:pPr>
        <w:spacing w:before="0" w:after="20" w:line="247" w:lineRule="auto"/>
        <w:ind w:left="198"/>
      </w:pPr>
      <w:r>
        <w:rPr>
          <w:b/>
        </w:rPr>
        <w:t xml:space="preserve">• </w:t>
      </w:r>
      <w:r>
        <w:t>Electrical segment has been benefiting from data-centre construction demand.</w:t>
      </w:r>
    </w:p>
    <w:p>
      <w:pPr>
        <w:spacing w:before="0" w:after="20" w:line="247" w:lineRule="auto"/>
        <w:ind w:left="198"/>
      </w:pPr>
      <w:r>
        <w:rPr>
          <w:b/>
        </w:rPr>
        <w:t xml:space="preserve">• </w:t>
      </w:r>
      <w:r>
        <w:t>2026 adjusted EPS guidance sits around $19.15-$19.85.</w:t>
      </w:r>
    </w:p>
    <w:p>
      <w:pPr>
        <w:spacing w:before="0" w:after="20" w:line="247" w:lineRule="auto"/>
        <w:ind w:left="198"/>
      </w:pPr>
      <w:r>
        <w:rPr>
          <w:b/>
        </w:rPr>
        <w:t xml:space="preserve">• </w:t>
      </w:r>
      <w:r>
        <w:t>Utility infrastructure demand provides a second engine alongside data-centres.</w:t>
      </w:r>
    </w:p>
    <w:p>
      <w:pPr>
        <w:pStyle w:val="Heading2"/>
        <w:spacing w:before="120" w:after="40" w:line="240" w:lineRule="auto"/>
      </w:pPr>
      <w:r>
        <w:t>Entry zones and dealing discipline</w:t>
      </w:r>
    </w:p>
    <w:tbl>
      <w:tblPr>
        <w:tblW w:type="auto" w:w="0"/>
        <w:jc w:val="left"/>
        <w:tblLook w:firstColumn="1" w:firstRow="1" w:lastColumn="0" w:lastRow="0" w:noHBand="0" w:noVBand="1" w:val="04A0"/>
      </w:tblPr>
      <w:tblGrid>
        <w:gridCol w:w="4989"/>
        <w:gridCol w:w="4989"/>
      </w:tblGrid>
      <w:tr>
        <w:tc>
          <w:tcPr>
            <w:tcW w:type="dxa" w:w="4989"/>
            <w:tcMar>
              <w:top w:w="110" w:type="dxa"/>
              <w:start w:w="100" w:type="dxa"/>
              <w:bottom w:w="110" w:type="dxa"/>
              <w:end w:w="100" w:type="dxa"/>
            </w:tcMar>
            <w:vAlign w:val="center"/>
            <w:shd w:fill="D9EAF7"/>
          </w:tcPr>
          <w:p>
            <w:pPr>
              <w:spacing w:before="0" w:after="0" w:line="240" w:lineRule="auto"/>
            </w:pPr>
            <w:r>
              <w:rPr>
                <w:b/>
                <w:color w:val="2F5496"/>
                <w:sz w:val="19"/>
              </w:rPr>
              <w:t>Accumulation zone</w:t>
            </w:r>
          </w:p>
        </w:tc>
        <w:tc>
          <w:tcPr>
            <w:tcW w:type="dxa" w:w="4989"/>
            <w:tcMar>
              <w:top w:w="110" w:type="dxa"/>
              <w:start w:w="100" w:type="dxa"/>
              <w:bottom w:w="110" w:type="dxa"/>
              <w:end w:w="100" w:type="dxa"/>
            </w:tcMar>
            <w:vAlign w:val="center"/>
            <w:shd w:fill="FFFFFF"/>
          </w:tcPr>
          <w:p>
            <w:pPr>
              <w:spacing w:before="0" w:after="0" w:line="240" w:lineRule="auto"/>
            </w:pPr>
            <w:r>
              <w:rPr>
                <w:sz w:val="19"/>
              </w:rPr>
              <w:t>$515-$545</w:t>
            </w:r>
          </w:p>
        </w:tc>
      </w:tr>
      <w:tr>
        <w:tc>
          <w:tcPr>
            <w:tcW w:type="dxa" w:w="4989"/>
            <w:tcMar>
              <w:top w:w="110" w:type="dxa"/>
              <w:start w:w="100" w:type="dxa"/>
              <w:bottom w:w="110" w:type="dxa"/>
              <w:end w:w="100" w:type="dxa"/>
            </w:tcMar>
            <w:vAlign w:val="center"/>
            <w:shd w:fill="D9EAF7"/>
          </w:tcPr>
          <w:p>
            <w:pPr>
              <w:spacing w:before="0" w:after="0" w:line="240" w:lineRule="auto"/>
            </w:pPr>
            <w:r>
              <w:rPr>
                <w:b/>
                <w:color w:val="2F5496"/>
                <w:sz w:val="19"/>
              </w:rPr>
              <w:t>Better value zone</w:t>
            </w:r>
          </w:p>
        </w:tc>
        <w:tc>
          <w:tcPr>
            <w:tcW w:type="dxa" w:w="4989"/>
            <w:tcMar>
              <w:top w:w="110" w:type="dxa"/>
              <w:start w:w="100" w:type="dxa"/>
              <w:bottom w:w="110" w:type="dxa"/>
              <w:end w:w="100" w:type="dxa"/>
            </w:tcMar>
            <w:vAlign w:val="center"/>
            <w:shd w:fill="FFFFFF"/>
          </w:tcPr>
          <w:p>
            <w:pPr>
              <w:spacing w:before="0" w:after="0" w:line="240" w:lineRule="auto"/>
            </w:pPr>
            <w:r>
              <w:rPr>
                <w:sz w:val="19"/>
              </w:rPr>
              <w:t>$485-$510</w:t>
            </w:r>
          </w:p>
        </w:tc>
      </w:tr>
      <w:tr>
        <w:tc>
          <w:tcPr>
            <w:tcW w:type="dxa" w:w="4989"/>
            <w:tcMar>
              <w:top w:w="110" w:type="dxa"/>
              <w:start w:w="100" w:type="dxa"/>
              <w:bottom w:w="110" w:type="dxa"/>
              <w:end w:w="100" w:type="dxa"/>
            </w:tcMar>
            <w:vAlign w:val="center"/>
            <w:shd w:fill="D9EAF7"/>
          </w:tcPr>
          <w:p>
            <w:pPr>
              <w:spacing w:before="0" w:after="0" w:line="240" w:lineRule="auto"/>
            </w:pPr>
            <w:r>
              <w:rPr>
                <w:b/>
                <w:color w:val="2F5496"/>
                <w:sz w:val="19"/>
              </w:rPr>
              <w:t>Thesis break / hard caution level</w:t>
            </w:r>
          </w:p>
        </w:tc>
        <w:tc>
          <w:tcPr>
            <w:tcW w:type="dxa" w:w="4989"/>
            <w:tcMar>
              <w:top w:w="110" w:type="dxa"/>
              <w:start w:w="100" w:type="dxa"/>
              <w:bottom w:w="110" w:type="dxa"/>
              <w:end w:w="100" w:type="dxa"/>
            </w:tcMar>
            <w:vAlign w:val="center"/>
            <w:shd w:fill="FFFFFF"/>
          </w:tcPr>
          <w:p>
            <w:pPr>
              <w:spacing w:before="0" w:after="0" w:line="240" w:lineRule="auto"/>
            </w:pPr>
            <w:r>
              <w:rPr>
                <w:sz w:val="19"/>
              </w:rPr>
              <w:t>Below $465 if electrical orders soften materially</w:t>
            </w:r>
          </w:p>
        </w:tc>
      </w:tr>
      <w:tr>
        <w:tc>
          <w:tcPr>
            <w:tcW w:type="dxa" w:w="4989"/>
            <w:tcMar>
              <w:top w:w="110" w:type="dxa"/>
              <w:start w:w="100" w:type="dxa"/>
              <w:bottom w:w="110" w:type="dxa"/>
              <w:end w:w="100" w:type="dxa"/>
            </w:tcMar>
            <w:vAlign w:val="center"/>
            <w:shd w:fill="EAF2F8"/>
          </w:tcPr>
          <w:p>
            <w:pPr>
              <w:spacing w:before="0" w:after="0" w:line="240" w:lineRule="auto"/>
            </w:pPr>
            <w:r>
              <w:rPr>
                <w:b/>
                <w:color w:val="2F5496"/>
                <w:sz w:val="19"/>
              </w:rPr>
              <w:t>Suggested approach</w:t>
            </w:r>
          </w:p>
        </w:tc>
        <w:tc>
          <w:tcPr>
            <w:tcW w:type="dxa" w:w="4989"/>
            <w:tcMar>
              <w:top w:w="110" w:type="dxa"/>
              <w:start w:w="100" w:type="dxa"/>
              <w:bottom w:w="110" w:type="dxa"/>
              <w:end w:w="100" w:type="dxa"/>
            </w:tcMar>
            <w:vAlign w:val="center"/>
            <w:shd w:fill="FFFFFF"/>
          </w:tcPr>
          <w:p>
            <w:pPr>
              <w:spacing w:before="0" w:after="0" w:line="240" w:lineRule="auto"/>
            </w:pPr>
            <w:r>
              <w:rPr>
                <w:sz w:val="19"/>
              </w:rPr>
              <w:t>Build in tranches rather than one order. Favour weakness into support or post-earnings dislocation over momentum chasing.</w:t>
            </w:r>
          </w:p>
        </w:tc>
      </w:tr>
    </w:tbl>
    <w:p>
      <w:pPr>
        <w:pStyle w:val="Heading2"/>
        <w:spacing w:before="120" w:after="40" w:line="240" w:lineRule="auto"/>
      </w:pPr>
      <w:r>
        <w:t>Catalysts and risks</w:t>
      </w:r>
    </w:p>
    <w:tbl>
      <w:tblPr>
        <w:tblW w:type="auto" w:w="0"/>
        <w:jc w:val="center"/>
        <w:tblLook w:firstColumn="1" w:firstRow="1" w:lastColumn="0" w:lastRow="0" w:noHBand="0" w:noVBand="1" w:val="04A0"/>
      </w:tblPr>
      <w:tblGrid>
        <w:gridCol w:w="4989"/>
        <w:gridCol w:w="4989"/>
      </w:tblGrid>
      <w:tr>
        <w:tc>
          <w:tcPr>
            <w:tcW w:type="dxa" w:w="4989"/>
            <w:shd w:fill="EAF2F8"/>
            <w:tcMar>
              <w:top w:w="130" w:type="dxa"/>
              <w:start w:w="120" w:type="dxa"/>
              <w:bottom w:w="130" w:type="dxa"/>
              <w:end w:w="120" w:type="dxa"/>
            </w:tcMar>
          </w:tcPr>
          <w:p>
            <w:pPr>
              <w:spacing w:before="0" w:after="40" w:line="240" w:lineRule="auto"/>
            </w:pPr>
            <w:r/>
            <w:r>
              <w:rPr>
                <w:b/>
                <w:color w:val="2F5496"/>
                <w:sz w:val="20"/>
              </w:rPr>
              <w:t>Upside catalysts</w:t>
            </w:r>
          </w:p>
          <w:p>
            <w:pPr>
              <w:spacing w:before="0" w:after="20" w:line="247" w:lineRule="auto"/>
              <w:ind w:left="142"/>
            </w:pPr>
            <w:r>
              <w:rPr>
                <w:b/>
              </w:rPr>
              <w:t xml:space="preserve">• </w:t>
            </w:r>
            <w:r>
              <w:t>Further data-centre electrical strength</w:t>
            </w:r>
          </w:p>
          <w:p>
            <w:pPr>
              <w:spacing w:before="0" w:after="20" w:line="247" w:lineRule="auto"/>
              <w:ind w:left="142"/>
            </w:pPr>
            <w:r>
              <w:rPr>
                <w:b/>
              </w:rPr>
              <w:t xml:space="preserve">• </w:t>
            </w:r>
            <w:r>
              <w:t>Grid modernisation spend</w:t>
            </w:r>
          </w:p>
          <w:p>
            <w:pPr>
              <w:spacing w:before="0" w:after="20" w:line="247" w:lineRule="auto"/>
              <w:ind w:left="142"/>
            </w:pPr>
            <w:r>
              <w:rPr>
                <w:b/>
              </w:rPr>
              <w:t xml:space="preserve">• </w:t>
            </w:r>
            <w:r>
              <w:t>Raised guidance if order conversion remains strong</w:t>
            </w:r>
          </w:p>
        </w:tc>
        <w:tc>
          <w:tcPr>
            <w:tcW w:type="dxa" w:w="4989"/>
            <w:shd w:fill="F4F6F8"/>
            <w:tcMar>
              <w:top w:w="130" w:type="dxa"/>
              <w:start w:w="120" w:type="dxa"/>
              <w:bottom w:w="130" w:type="dxa"/>
              <w:end w:w="120" w:type="dxa"/>
            </w:tcMar>
          </w:tcPr>
          <w:p>
            <w:pPr>
              <w:spacing w:before="0" w:after="40" w:line="240" w:lineRule="auto"/>
            </w:pPr>
            <w:r/>
            <w:r>
              <w:rPr>
                <w:b/>
                <w:color w:val="2F5496"/>
                <w:sz w:val="20"/>
              </w:rPr>
              <w:t>Principal risks</w:t>
            </w:r>
          </w:p>
          <w:p>
            <w:pPr>
              <w:spacing w:before="0" w:after="20" w:line="247" w:lineRule="auto"/>
              <w:ind w:left="142"/>
            </w:pPr>
            <w:r>
              <w:rPr>
                <w:b/>
              </w:rPr>
              <w:t xml:space="preserve">• </w:t>
            </w:r>
            <w:r>
              <w:t>Seen as too 'boring' to rerate sharply</w:t>
            </w:r>
          </w:p>
          <w:p>
            <w:pPr>
              <w:spacing w:before="0" w:after="20" w:line="247" w:lineRule="auto"/>
              <w:ind w:left="142"/>
            </w:pPr>
            <w:r>
              <w:rPr>
                <w:b/>
              </w:rPr>
              <w:t xml:space="preserve">• </w:t>
            </w:r>
            <w:r>
              <w:t>Normal industrial demand slowdown offsetting AI strength</w:t>
            </w:r>
          </w:p>
          <w:p>
            <w:pPr>
              <w:spacing w:before="0" w:after="20" w:line="247" w:lineRule="auto"/>
              <w:ind w:left="142"/>
            </w:pPr>
            <w:r>
              <w:rPr>
                <w:b/>
              </w:rPr>
              <w:t xml:space="preserve">• </w:t>
            </w:r>
            <w:r>
              <w:t>Execution risk on segment mix and margins</w:t>
            </w:r>
          </w:p>
        </w:tc>
      </w:tr>
    </w:tbl>
    <w:p>
      <w:pPr>
        <w:pStyle w:val="Heading1"/>
        <w:spacing w:before="200" w:after="40" w:line="240" w:lineRule="auto"/>
      </w:pPr>
      <w:r>
        <w:t>4. Amkor Technology (AMKR)</w:t>
      </w:r>
    </w:p>
    <w:p>
      <w:pPr>
        <w:spacing w:before="0" w:after="160" w:line="240" w:lineRule="auto"/>
      </w:pPr>
      <w:r>
        <w:rPr>
          <w:b/>
          <w:color w:val="2F5496"/>
          <w:sz w:val="22"/>
        </w:rPr>
        <w:t>Higher-beta packaging bottleneck play</w:t>
      </w:r>
    </w:p>
    <w:tbl>
      <w:tblPr>
        <w:tblW w:type="auto" w:w="0"/>
        <w:jc w:val="center"/>
        <w:tblLook w:firstColumn="1" w:firstRow="1" w:lastColumn="0" w:lastRow="0" w:noHBand="0" w:noVBand="1" w:val="04A0"/>
      </w:tblPr>
      <w:tblGrid>
        <w:gridCol w:w="2494"/>
        <w:gridCol w:w="2494"/>
        <w:gridCol w:w="2494"/>
        <w:gridCol w:w="2494"/>
      </w:tblGrid>
      <w:tr>
        <w:tc>
          <w:tcPr>
            <w:tcW w:type="dxa" w:w="2494"/>
            <w:shd w:fill="D9EAF7"/>
            <w:tcMar>
              <w:top w:w="110" w:type="dxa"/>
              <w:start w:w="90" w:type="dxa"/>
              <w:bottom w:w="110" w:type="dxa"/>
              <w:end w:w="90" w:type="dxa"/>
            </w:tcMar>
            <w:vAlign w:val="center"/>
          </w:tcPr>
          <w:p>
            <w:pPr>
              <w:spacing w:before="0" w:after="0" w:line="240" w:lineRule="auto"/>
            </w:pPr>
            <w:r>
              <w:rPr>
                <w:b/>
                <w:color w:val="1F4E79"/>
                <w:sz w:val="19"/>
              </w:rPr>
              <w:t>Current price</w:t>
            </w:r>
          </w:p>
        </w:tc>
        <w:tc>
          <w:tcPr>
            <w:tcW w:type="dxa" w:w="2494"/>
            <w:shd w:fill="D9EAF7"/>
            <w:tcMar>
              <w:top w:w="110" w:type="dxa"/>
              <w:start w:w="90" w:type="dxa"/>
              <w:bottom w:w="110" w:type="dxa"/>
              <w:end w:w="90" w:type="dxa"/>
            </w:tcMar>
            <w:vAlign w:val="center"/>
          </w:tcPr>
          <w:p>
            <w:pPr>
              <w:spacing w:before="0" w:after="0" w:line="240" w:lineRule="auto"/>
            </w:pPr>
            <w:r>
              <w:rPr>
                <w:b/>
                <w:color w:val="1F4E79"/>
                <w:sz w:val="19"/>
              </w:rPr>
              <w:t>Market cap</w:t>
            </w:r>
          </w:p>
        </w:tc>
        <w:tc>
          <w:tcPr>
            <w:tcW w:type="dxa" w:w="2494"/>
            <w:shd w:fill="D9EAF7"/>
            <w:tcMar>
              <w:top w:w="110" w:type="dxa"/>
              <w:start w:w="90" w:type="dxa"/>
              <w:bottom w:w="110" w:type="dxa"/>
              <w:end w:w="90" w:type="dxa"/>
            </w:tcMar>
            <w:vAlign w:val="center"/>
          </w:tcPr>
          <w:p>
            <w:pPr>
              <w:spacing w:before="0" w:after="0" w:line="240" w:lineRule="auto"/>
            </w:pPr>
            <w:r>
              <w:rPr>
                <w:b/>
                <w:color w:val="1F4E79"/>
                <w:sz w:val="19"/>
              </w:rPr>
              <w:t>Trailing P/E</w:t>
            </w:r>
          </w:p>
        </w:tc>
        <w:tc>
          <w:tcPr>
            <w:tcW w:type="dxa" w:w="2494"/>
            <w:shd w:fill="D9EAF7"/>
            <w:tcMar>
              <w:top w:w="110" w:type="dxa"/>
              <w:start w:w="90" w:type="dxa"/>
              <w:bottom w:w="110" w:type="dxa"/>
              <w:end w:w="90" w:type="dxa"/>
            </w:tcMar>
            <w:vAlign w:val="center"/>
          </w:tcPr>
          <w:p>
            <w:pPr>
              <w:spacing w:before="0" w:after="0" w:line="240" w:lineRule="auto"/>
            </w:pPr>
            <w:r>
              <w:rPr>
                <w:b/>
                <w:color w:val="1F4E79"/>
                <w:sz w:val="19"/>
              </w:rPr>
              <w:t>Conviction</w:t>
            </w:r>
          </w:p>
        </w:tc>
      </w:tr>
      <w:tr>
        <w:tc>
          <w:tcPr>
            <w:tcW w:type="dxa" w:w="2494"/>
            <w:shd w:fill="FFFFFF"/>
            <w:tcMar>
              <w:top w:w="110" w:type="dxa"/>
              <w:start w:w="90" w:type="dxa"/>
              <w:bottom w:w="110" w:type="dxa"/>
              <w:end w:w="90" w:type="dxa"/>
            </w:tcMar>
            <w:vAlign w:val="center"/>
          </w:tcPr>
          <w:p>
            <w:pPr>
              <w:spacing w:before="0" w:after="0" w:line="240" w:lineRule="auto"/>
            </w:pPr>
            <w:r>
              <w:rPr>
                <w:sz w:val="19"/>
              </w:rPr>
              <w:t>$60.44</w:t>
            </w:r>
          </w:p>
        </w:tc>
        <w:tc>
          <w:tcPr>
            <w:tcW w:type="dxa" w:w="2494"/>
            <w:shd w:fill="FFFFFF"/>
            <w:tcMar>
              <w:top w:w="110" w:type="dxa"/>
              <w:start w:w="90" w:type="dxa"/>
              <w:bottom w:w="110" w:type="dxa"/>
              <w:end w:w="90" w:type="dxa"/>
            </w:tcMar>
            <w:vAlign w:val="center"/>
          </w:tcPr>
          <w:p>
            <w:pPr>
              <w:spacing w:before="0" w:after="0" w:line="240" w:lineRule="auto"/>
            </w:pPr>
            <w:r>
              <w:rPr>
                <w:sz w:val="19"/>
              </w:rPr>
              <w:t>$7.0bn</w:t>
            </w:r>
          </w:p>
        </w:tc>
        <w:tc>
          <w:tcPr>
            <w:tcW w:type="dxa" w:w="2494"/>
            <w:shd w:fill="FFFFFF"/>
            <w:tcMar>
              <w:top w:w="110" w:type="dxa"/>
              <w:start w:w="90" w:type="dxa"/>
              <w:bottom w:w="110" w:type="dxa"/>
              <w:end w:w="90" w:type="dxa"/>
            </w:tcMar>
            <w:vAlign w:val="center"/>
          </w:tcPr>
          <w:p>
            <w:pPr>
              <w:spacing w:before="0" w:after="0" w:line="240" w:lineRule="auto"/>
            </w:pPr>
            <w:r>
              <w:rPr>
                <w:sz w:val="19"/>
              </w:rPr>
              <w:t>22.8x</w:t>
            </w:r>
          </w:p>
        </w:tc>
        <w:tc>
          <w:tcPr>
            <w:tcW w:type="dxa" w:w="2494"/>
            <w:shd w:fill="FFFFFF"/>
            <w:tcMar>
              <w:top w:w="110" w:type="dxa"/>
              <w:start w:w="90" w:type="dxa"/>
              <w:bottom w:w="110" w:type="dxa"/>
              <w:end w:w="90" w:type="dxa"/>
            </w:tcMar>
            <w:vAlign w:val="center"/>
          </w:tcPr>
          <w:p>
            <w:pPr>
              <w:spacing w:before="0" w:after="0" w:line="240" w:lineRule="auto"/>
            </w:pPr>
            <w:r>
              <w:rPr>
                <w:b/>
                <w:color w:val="2F5496"/>
                <w:sz w:val="19"/>
              </w:rPr>
              <w:t>Medium</w:t>
            </w:r>
          </w:p>
        </w:tc>
      </w:tr>
    </w:tbl>
    <w:p>
      <w:pPr>
        <w:pStyle w:val="Heading2"/>
        <w:spacing w:before="120" w:after="40" w:line="240" w:lineRule="auto"/>
      </w:pPr>
      <w:r>
        <w:t>Why it benefits from AI roll-out</w:t>
      </w:r>
    </w:p>
    <w:p>
      <w:pPr>
        <w:spacing w:before="0" w:after="120" w:line="259" w:lineRule="auto"/>
      </w:pPr>
      <w:r>
        <w:t>Advanced packaging is one of the hardest capacity bottlenecks in the AI stack. Amkor provides exposure to that choke point without paying the kind of valuation usually attached to the most famous semiconductor names.</w:t>
      </w:r>
    </w:p>
    <w:p>
      <w:pPr>
        <w:pStyle w:val="Heading2"/>
        <w:spacing w:before="120" w:after="40" w:line="240" w:lineRule="auto"/>
      </w:pPr>
      <w:r>
        <w:t>Why it makes the watchlist now</w:t>
      </w:r>
    </w:p>
    <w:p>
      <w:pPr>
        <w:spacing w:before="0" w:after="120" w:line="259" w:lineRule="auto"/>
      </w:pPr>
      <w:r>
        <w:t>This is the smaller-cap name on the list with real AI leverage. The upside can be strong if packaging demand stays tight, but volatility and capex risk are higher than for the industrial names.</w:t>
      </w:r>
    </w:p>
    <w:p>
      <w:pPr>
        <w:pStyle w:val="Heading2"/>
        <w:spacing w:before="120" w:after="40" w:line="240" w:lineRule="auto"/>
      </w:pPr>
      <w:r>
        <w:t>Company fundamentals to monitor</w:t>
      </w:r>
    </w:p>
    <w:p>
      <w:pPr>
        <w:spacing w:before="0" w:after="20" w:line="247" w:lineRule="auto"/>
        <w:ind w:left="198"/>
      </w:pPr>
      <w:r>
        <w:rPr>
          <w:b/>
        </w:rPr>
        <w:t xml:space="preserve">• </w:t>
      </w:r>
      <w:r>
        <w:t>Management said 2025 was a pivotal year with record advanced packaging and computing revenue.</w:t>
      </w:r>
    </w:p>
    <w:p>
      <w:pPr>
        <w:spacing w:before="0" w:after="20" w:line="247" w:lineRule="auto"/>
        <w:ind w:left="198"/>
      </w:pPr>
      <w:r>
        <w:rPr>
          <w:b/>
        </w:rPr>
        <w:t xml:space="preserve">• </w:t>
      </w:r>
      <w:r>
        <w:t>Amkor is investing to support the next wave of AI-led packaging demand.</w:t>
      </w:r>
    </w:p>
    <w:p>
      <w:pPr>
        <w:spacing w:before="0" w:after="20" w:line="247" w:lineRule="auto"/>
        <w:ind w:left="198"/>
      </w:pPr>
      <w:r>
        <w:rPr>
          <w:b/>
        </w:rPr>
        <w:t xml:space="preserve">• </w:t>
      </w:r>
      <w:r>
        <w:t>Exposure to Nvidia-related packaging expansion supports the AI thesis.</w:t>
      </w:r>
    </w:p>
    <w:p>
      <w:pPr>
        <w:pStyle w:val="Heading2"/>
        <w:spacing w:before="120" w:after="40" w:line="240" w:lineRule="auto"/>
      </w:pPr>
      <w:r>
        <w:t>Entry zones and dealing discipline</w:t>
      </w:r>
    </w:p>
    <w:tbl>
      <w:tblPr>
        <w:tblW w:type="auto" w:w="0"/>
        <w:jc w:val="left"/>
        <w:tblLook w:firstColumn="1" w:firstRow="1" w:lastColumn="0" w:lastRow="0" w:noHBand="0" w:noVBand="1" w:val="04A0"/>
      </w:tblPr>
      <w:tblGrid>
        <w:gridCol w:w="4989"/>
        <w:gridCol w:w="4989"/>
      </w:tblGrid>
      <w:tr>
        <w:tc>
          <w:tcPr>
            <w:tcW w:type="dxa" w:w="4989"/>
            <w:tcMar>
              <w:top w:w="110" w:type="dxa"/>
              <w:start w:w="100" w:type="dxa"/>
              <w:bottom w:w="110" w:type="dxa"/>
              <w:end w:w="100" w:type="dxa"/>
            </w:tcMar>
            <w:vAlign w:val="center"/>
            <w:shd w:fill="D9EAF7"/>
          </w:tcPr>
          <w:p>
            <w:pPr>
              <w:spacing w:before="0" w:after="0" w:line="240" w:lineRule="auto"/>
            </w:pPr>
            <w:r>
              <w:rPr>
                <w:b/>
                <w:color w:val="2F5496"/>
                <w:sz w:val="19"/>
              </w:rPr>
              <w:t>Accumulation zone</w:t>
            </w:r>
          </w:p>
        </w:tc>
        <w:tc>
          <w:tcPr>
            <w:tcW w:type="dxa" w:w="4989"/>
            <w:tcMar>
              <w:top w:w="110" w:type="dxa"/>
              <w:start w:w="100" w:type="dxa"/>
              <w:bottom w:w="110" w:type="dxa"/>
              <w:end w:w="100" w:type="dxa"/>
            </w:tcMar>
            <w:vAlign w:val="center"/>
            <w:shd w:fill="FFFFFF"/>
          </w:tcPr>
          <w:p>
            <w:pPr>
              <w:spacing w:before="0" w:after="0" w:line="240" w:lineRule="auto"/>
            </w:pPr>
            <w:r>
              <w:rPr>
                <w:sz w:val="19"/>
              </w:rPr>
              <w:t>$56-$61</w:t>
            </w:r>
          </w:p>
        </w:tc>
      </w:tr>
      <w:tr>
        <w:tc>
          <w:tcPr>
            <w:tcW w:type="dxa" w:w="4989"/>
            <w:tcMar>
              <w:top w:w="110" w:type="dxa"/>
              <w:start w:w="100" w:type="dxa"/>
              <w:bottom w:w="110" w:type="dxa"/>
              <w:end w:w="100" w:type="dxa"/>
            </w:tcMar>
            <w:vAlign w:val="center"/>
            <w:shd w:fill="D9EAF7"/>
          </w:tcPr>
          <w:p>
            <w:pPr>
              <w:spacing w:before="0" w:after="0" w:line="240" w:lineRule="auto"/>
            </w:pPr>
            <w:r>
              <w:rPr>
                <w:b/>
                <w:color w:val="2F5496"/>
                <w:sz w:val="19"/>
              </w:rPr>
              <w:t>Better value zone</w:t>
            </w:r>
          </w:p>
        </w:tc>
        <w:tc>
          <w:tcPr>
            <w:tcW w:type="dxa" w:w="4989"/>
            <w:tcMar>
              <w:top w:w="110" w:type="dxa"/>
              <w:start w:w="100" w:type="dxa"/>
              <w:bottom w:w="110" w:type="dxa"/>
              <w:end w:w="100" w:type="dxa"/>
            </w:tcMar>
            <w:vAlign w:val="center"/>
            <w:shd w:fill="FFFFFF"/>
          </w:tcPr>
          <w:p>
            <w:pPr>
              <w:spacing w:before="0" w:after="0" w:line="240" w:lineRule="auto"/>
            </w:pPr>
            <w:r>
              <w:rPr>
                <w:sz w:val="19"/>
              </w:rPr>
              <w:t>$50-$55</w:t>
            </w:r>
          </w:p>
        </w:tc>
      </w:tr>
      <w:tr>
        <w:tc>
          <w:tcPr>
            <w:tcW w:type="dxa" w:w="4989"/>
            <w:tcMar>
              <w:top w:w="110" w:type="dxa"/>
              <w:start w:w="100" w:type="dxa"/>
              <w:bottom w:w="110" w:type="dxa"/>
              <w:end w:w="100" w:type="dxa"/>
            </w:tcMar>
            <w:vAlign w:val="center"/>
            <w:shd w:fill="D9EAF7"/>
          </w:tcPr>
          <w:p>
            <w:pPr>
              <w:spacing w:before="0" w:after="0" w:line="240" w:lineRule="auto"/>
            </w:pPr>
            <w:r>
              <w:rPr>
                <w:b/>
                <w:color w:val="2F5496"/>
                <w:sz w:val="19"/>
              </w:rPr>
              <w:t>Thesis break / hard caution level</w:t>
            </w:r>
          </w:p>
        </w:tc>
        <w:tc>
          <w:tcPr>
            <w:tcW w:type="dxa" w:w="4989"/>
            <w:tcMar>
              <w:top w:w="110" w:type="dxa"/>
              <w:start w:w="100" w:type="dxa"/>
              <w:bottom w:w="110" w:type="dxa"/>
              <w:end w:w="100" w:type="dxa"/>
            </w:tcMar>
            <w:vAlign w:val="center"/>
            <w:shd w:fill="FFFFFF"/>
          </w:tcPr>
          <w:p>
            <w:pPr>
              <w:spacing w:before="0" w:after="0" w:line="240" w:lineRule="auto"/>
            </w:pPr>
            <w:r>
              <w:rPr>
                <w:sz w:val="19"/>
              </w:rPr>
              <w:t>Below $47 if packaging utilisation disappoints</w:t>
            </w:r>
          </w:p>
        </w:tc>
      </w:tr>
      <w:tr>
        <w:tc>
          <w:tcPr>
            <w:tcW w:type="dxa" w:w="4989"/>
            <w:tcMar>
              <w:top w:w="110" w:type="dxa"/>
              <w:start w:w="100" w:type="dxa"/>
              <w:bottom w:w="110" w:type="dxa"/>
              <w:end w:w="100" w:type="dxa"/>
            </w:tcMar>
            <w:vAlign w:val="center"/>
            <w:shd w:fill="EAF2F8"/>
          </w:tcPr>
          <w:p>
            <w:pPr>
              <w:spacing w:before="0" w:after="0" w:line="240" w:lineRule="auto"/>
            </w:pPr>
            <w:r>
              <w:rPr>
                <w:b/>
                <w:color w:val="2F5496"/>
                <w:sz w:val="19"/>
              </w:rPr>
              <w:t>Suggested approach</w:t>
            </w:r>
          </w:p>
        </w:tc>
        <w:tc>
          <w:tcPr>
            <w:tcW w:type="dxa" w:w="4989"/>
            <w:tcMar>
              <w:top w:w="110" w:type="dxa"/>
              <w:start w:w="100" w:type="dxa"/>
              <w:bottom w:w="110" w:type="dxa"/>
              <w:end w:w="100" w:type="dxa"/>
            </w:tcMar>
            <w:vAlign w:val="center"/>
            <w:shd w:fill="FFFFFF"/>
          </w:tcPr>
          <w:p>
            <w:pPr>
              <w:spacing w:before="0" w:after="0" w:line="240" w:lineRule="auto"/>
            </w:pPr>
            <w:r>
              <w:rPr>
                <w:sz w:val="19"/>
              </w:rPr>
              <w:t>Build in tranches rather than one order. Favour weakness into support or post-earnings dislocation over momentum chasing.</w:t>
            </w:r>
          </w:p>
        </w:tc>
      </w:tr>
    </w:tbl>
    <w:p>
      <w:pPr>
        <w:pStyle w:val="Heading2"/>
        <w:spacing w:before="120" w:after="40" w:line="240" w:lineRule="auto"/>
      </w:pPr>
      <w:r>
        <w:t>Catalysts and risks</w:t>
      </w:r>
    </w:p>
    <w:tbl>
      <w:tblPr>
        <w:tblW w:type="auto" w:w="0"/>
        <w:jc w:val="center"/>
        <w:tblLook w:firstColumn="1" w:firstRow="1" w:lastColumn="0" w:lastRow="0" w:noHBand="0" w:noVBand="1" w:val="04A0"/>
      </w:tblPr>
      <w:tblGrid>
        <w:gridCol w:w="4989"/>
        <w:gridCol w:w="4989"/>
      </w:tblGrid>
      <w:tr>
        <w:tc>
          <w:tcPr>
            <w:tcW w:type="dxa" w:w="4989"/>
            <w:shd w:fill="EAF2F8"/>
            <w:tcMar>
              <w:top w:w="130" w:type="dxa"/>
              <w:start w:w="120" w:type="dxa"/>
              <w:bottom w:w="130" w:type="dxa"/>
              <w:end w:w="120" w:type="dxa"/>
            </w:tcMar>
          </w:tcPr>
          <w:p>
            <w:pPr>
              <w:spacing w:before="0" w:after="40" w:line="240" w:lineRule="auto"/>
            </w:pPr>
            <w:r/>
            <w:r>
              <w:rPr>
                <w:b/>
                <w:color w:val="2F5496"/>
                <w:sz w:val="20"/>
              </w:rPr>
              <w:t>Upside catalysts</w:t>
            </w:r>
          </w:p>
          <w:p>
            <w:pPr>
              <w:spacing w:before="0" w:after="20" w:line="247" w:lineRule="auto"/>
              <w:ind w:left="142"/>
            </w:pPr>
            <w:r>
              <w:rPr>
                <w:b/>
              </w:rPr>
              <w:t xml:space="preserve">• </w:t>
            </w:r>
            <w:r>
              <w:t>Additional customer awards</w:t>
            </w:r>
          </w:p>
          <w:p>
            <w:pPr>
              <w:spacing w:before="0" w:after="20" w:line="247" w:lineRule="auto"/>
              <w:ind w:left="142"/>
            </w:pPr>
            <w:r>
              <w:rPr>
                <w:b/>
              </w:rPr>
              <w:t xml:space="preserve">• </w:t>
            </w:r>
            <w:r>
              <w:t>Improved packaging utilisation</w:t>
            </w:r>
          </w:p>
          <w:p>
            <w:pPr>
              <w:spacing w:before="0" w:after="20" w:line="247" w:lineRule="auto"/>
              <w:ind w:left="142"/>
            </w:pPr>
            <w:r>
              <w:rPr>
                <w:b/>
              </w:rPr>
              <w:t xml:space="preserve">• </w:t>
            </w:r>
            <w:r>
              <w:t>Evidence of margin recovery as mix improves</w:t>
            </w:r>
          </w:p>
        </w:tc>
        <w:tc>
          <w:tcPr>
            <w:tcW w:type="dxa" w:w="4989"/>
            <w:shd w:fill="F4F6F8"/>
            <w:tcMar>
              <w:top w:w="130" w:type="dxa"/>
              <w:start w:w="120" w:type="dxa"/>
              <w:bottom w:w="130" w:type="dxa"/>
              <w:end w:w="120" w:type="dxa"/>
            </w:tcMar>
          </w:tcPr>
          <w:p>
            <w:pPr>
              <w:spacing w:before="0" w:after="40" w:line="240" w:lineRule="auto"/>
            </w:pPr>
            <w:r/>
            <w:r>
              <w:rPr>
                <w:b/>
                <w:color w:val="2F5496"/>
                <w:sz w:val="20"/>
              </w:rPr>
              <w:t>Principal risks</w:t>
            </w:r>
          </w:p>
          <w:p>
            <w:pPr>
              <w:spacing w:before="0" w:after="20" w:line="247" w:lineRule="auto"/>
              <w:ind w:left="142"/>
            </w:pPr>
            <w:r>
              <w:rPr>
                <w:b/>
              </w:rPr>
              <w:t xml:space="preserve">• </w:t>
            </w:r>
            <w:r>
              <w:t>Cyclical semiconductor demand</w:t>
            </w:r>
          </w:p>
          <w:p>
            <w:pPr>
              <w:spacing w:before="0" w:after="20" w:line="247" w:lineRule="auto"/>
              <w:ind w:left="142"/>
            </w:pPr>
            <w:r>
              <w:rPr>
                <w:b/>
              </w:rPr>
              <w:t xml:space="preserve">• </w:t>
            </w:r>
            <w:r>
              <w:t>Execution and capex intensity</w:t>
            </w:r>
          </w:p>
          <w:p>
            <w:pPr>
              <w:spacing w:before="0" w:after="20" w:line="247" w:lineRule="auto"/>
              <w:ind w:left="142"/>
            </w:pPr>
            <w:r>
              <w:rPr>
                <w:b/>
              </w:rPr>
              <w:t xml:space="preserve">• </w:t>
            </w:r>
            <w:r>
              <w:t>Customer concentration and pricing pressure</w:t>
            </w:r>
          </w:p>
        </w:tc>
      </w:tr>
    </w:tbl>
    <w:p>
      <w:pPr>
        <w:pStyle w:val="Heading1"/>
        <w:spacing w:before="200" w:after="40" w:line="240" w:lineRule="auto"/>
      </w:pPr>
      <w:r>
        <w:t>5. Eaton (ETN)</w:t>
      </w:r>
    </w:p>
    <w:p>
      <w:pPr>
        <w:spacing w:before="0" w:after="160" w:line="240" w:lineRule="auto"/>
      </w:pPr>
      <w:r>
        <w:rPr>
          <w:b/>
          <w:color w:val="2F5496"/>
          <w:sz w:val="22"/>
        </w:rPr>
        <w:t>Excellent business, less of a bargain</w:t>
      </w:r>
    </w:p>
    <w:tbl>
      <w:tblPr>
        <w:tblW w:type="auto" w:w="0"/>
        <w:jc w:val="center"/>
        <w:tblLook w:firstColumn="1" w:firstRow="1" w:lastColumn="0" w:lastRow="0" w:noHBand="0" w:noVBand="1" w:val="04A0"/>
      </w:tblPr>
      <w:tblGrid>
        <w:gridCol w:w="2494"/>
        <w:gridCol w:w="2494"/>
        <w:gridCol w:w="2494"/>
        <w:gridCol w:w="2494"/>
      </w:tblGrid>
      <w:tr>
        <w:tc>
          <w:tcPr>
            <w:tcW w:type="dxa" w:w="2494"/>
            <w:shd w:fill="D9EAF7"/>
            <w:tcMar>
              <w:top w:w="110" w:type="dxa"/>
              <w:start w:w="90" w:type="dxa"/>
              <w:bottom w:w="110" w:type="dxa"/>
              <w:end w:w="90" w:type="dxa"/>
            </w:tcMar>
            <w:vAlign w:val="center"/>
          </w:tcPr>
          <w:p>
            <w:pPr>
              <w:spacing w:before="0" w:after="0" w:line="240" w:lineRule="auto"/>
            </w:pPr>
            <w:r>
              <w:rPr>
                <w:b/>
                <w:color w:val="1F4E79"/>
                <w:sz w:val="19"/>
              </w:rPr>
              <w:t>Current price</w:t>
            </w:r>
          </w:p>
        </w:tc>
        <w:tc>
          <w:tcPr>
            <w:tcW w:type="dxa" w:w="2494"/>
            <w:shd w:fill="D9EAF7"/>
            <w:tcMar>
              <w:top w:w="110" w:type="dxa"/>
              <w:start w:w="90" w:type="dxa"/>
              <w:bottom w:w="110" w:type="dxa"/>
              <w:end w:w="90" w:type="dxa"/>
            </w:tcMar>
            <w:vAlign w:val="center"/>
          </w:tcPr>
          <w:p>
            <w:pPr>
              <w:spacing w:before="0" w:after="0" w:line="240" w:lineRule="auto"/>
            </w:pPr>
            <w:r>
              <w:rPr>
                <w:b/>
                <w:color w:val="1F4E79"/>
                <w:sz w:val="19"/>
              </w:rPr>
              <w:t>Market cap</w:t>
            </w:r>
          </w:p>
        </w:tc>
        <w:tc>
          <w:tcPr>
            <w:tcW w:type="dxa" w:w="2494"/>
            <w:shd w:fill="D9EAF7"/>
            <w:tcMar>
              <w:top w:w="110" w:type="dxa"/>
              <w:start w:w="90" w:type="dxa"/>
              <w:bottom w:w="110" w:type="dxa"/>
              <w:end w:w="90" w:type="dxa"/>
            </w:tcMar>
            <w:vAlign w:val="center"/>
          </w:tcPr>
          <w:p>
            <w:pPr>
              <w:spacing w:before="0" w:after="0" w:line="240" w:lineRule="auto"/>
            </w:pPr>
            <w:r>
              <w:rPr>
                <w:b/>
                <w:color w:val="1F4E79"/>
                <w:sz w:val="19"/>
              </w:rPr>
              <w:t>Trailing P/E</w:t>
            </w:r>
          </w:p>
        </w:tc>
        <w:tc>
          <w:tcPr>
            <w:tcW w:type="dxa" w:w="2494"/>
            <w:shd w:fill="D9EAF7"/>
            <w:tcMar>
              <w:top w:w="110" w:type="dxa"/>
              <w:start w:w="90" w:type="dxa"/>
              <w:bottom w:w="110" w:type="dxa"/>
              <w:end w:w="90" w:type="dxa"/>
            </w:tcMar>
            <w:vAlign w:val="center"/>
          </w:tcPr>
          <w:p>
            <w:pPr>
              <w:spacing w:before="0" w:after="0" w:line="240" w:lineRule="auto"/>
            </w:pPr>
            <w:r>
              <w:rPr>
                <w:b/>
                <w:color w:val="1F4E79"/>
                <w:sz w:val="19"/>
              </w:rPr>
              <w:t>Conviction</w:t>
            </w:r>
          </w:p>
        </w:tc>
      </w:tr>
      <w:tr>
        <w:tc>
          <w:tcPr>
            <w:tcW w:type="dxa" w:w="2494"/>
            <w:shd w:fill="FFFFFF"/>
            <w:tcMar>
              <w:top w:w="110" w:type="dxa"/>
              <w:start w:w="90" w:type="dxa"/>
              <w:bottom w:w="110" w:type="dxa"/>
              <w:end w:w="90" w:type="dxa"/>
            </w:tcMar>
            <w:vAlign w:val="center"/>
          </w:tcPr>
          <w:p>
            <w:pPr>
              <w:spacing w:before="0" w:after="0" w:line="240" w:lineRule="auto"/>
            </w:pPr>
            <w:r>
              <w:rPr>
                <w:sz w:val="19"/>
              </w:rPr>
              <w:t>$403.36</w:t>
            </w:r>
          </w:p>
        </w:tc>
        <w:tc>
          <w:tcPr>
            <w:tcW w:type="dxa" w:w="2494"/>
            <w:shd w:fill="FFFFFF"/>
            <w:tcMar>
              <w:top w:w="110" w:type="dxa"/>
              <w:start w:w="90" w:type="dxa"/>
              <w:bottom w:w="110" w:type="dxa"/>
              <w:end w:w="90" w:type="dxa"/>
            </w:tcMar>
            <w:vAlign w:val="center"/>
          </w:tcPr>
          <w:p>
            <w:pPr>
              <w:spacing w:before="0" w:after="0" w:line="240" w:lineRule="auto"/>
            </w:pPr>
            <w:r>
              <w:rPr>
                <w:sz w:val="19"/>
              </w:rPr>
              <w:t>$145.7bn</w:t>
            </w:r>
          </w:p>
        </w:tc>
        <w:tc>
          <w:tcPr>
            <w:tcW w:type="dxa" w:w="2494"/>
            <w:shd w:fill="FFFFFF"/>
            <w:tcMar>
              <w:top w:w="110" w:type="dxa"/>
              <w:start w:w="90" w:type="dxa"/>
              <w:bottom w:w="110" w:type="dxa"/>
              <w:end w:w="90" w:type="dxa"/>
            </w:tcMar>
            <w:vAlign w:val="center"/>
          </w:tcPr>
          <w:p>
            <w:pPr>
              <w:spacing w:before="0" w:after="0" w:line="240" w:lineRule="auto"/>
            </w:pPr>
            <w:r>
              <w:rPr>
                <w:sz w:val="19"/>
              </w:rPr>
              <w:t>37.1x</w:t>
            </w:r>
          </w:p>
        </w:tc>
        <w:tc>
          <w:tcPr>
            <w:tcW w:type="dxa" w:w="2494"/>
            <w:shd w:fill="FFFFFF"/>
            <w:tcMar>
              <w:top w:w="110" w:type="dxa"/>
              <w:start w:w="90" w:type="dxa"/>
              <w:bottom w:w="110" w:type="dxa"/>
              <w:end w:w="90" w:type="dxa"/>
            </w:tcMar>
            <w:vAlign w:val="center"/>
          </w:tcPr>
          <w:p>
            <w:pPr>
              <w:spacing w:before="0" w:after="0" w:line="240" w:lineRule="auto"/>
            </w:pPr>
            <w:r>
              <w:rPr>
                <w:b/>
                <w:color w:val="2F5496"/>
                <w:sz w:val="19"/>
              </w:rPr>
              <w:t>Medium</w:t>
            </w:r>
          </w:p>
        </w:tc>
      </w:tr>
    </w:tbl>
    <w:p>
      <w:pPr>
        <w:pStyle w:val="Heading2"/>
        <w:spacing w:before="120" w:after="40" w:line="240" w:lineRule="auto"/>
      </w:pPr>
      <w:r>
        <w:t>Why it benefits from AI roll-out</w:t>
      </w:r>
    </w:p>
    <w:p>
      <w:pPr>
        <w:spacing w:before="0" w:after="120" w:line="259" w:lineRule="auto"/>
      </w:pPr>
      <w:r>
        <w:t>Eaton is one of the highest-quality public ways to play AI power architecture, including switchgear, UPS, distribution and growing thermal exposure. It is a very strong business, but more of the good news is already recognised in the price.</w:t>
      </w:r>
    </w:p>
    <w:p>
      <w:pPr>
        <w:pStyle w:val="Heading2"/>
        <w:spacing w:before="120" w:after="40" w:line="240" w:lineRule="auto"/>
      </w:pPr>
      <w:r>
        <w:t>Why it makes the watchlist now</w:t>
      </w:r>
    </w:p>
    <w:p>
      <w:pPr>
        <w:spacing w:before="0" w:after="120" w:line="259" w:lineRule="auto"/>
      </w:pPr>
      <w:r>
        <w:t>A strong core holding candidate, but not my preferred 'cheap-ish' AI rollout name because the market already knows it is good. Best accumulated on weakness rather than chased.</w:t>
      </w:r>
    </w:p>
    <w:p>
      <w:pPr>
        <w:pStyle w:val="Heading2"/>
        <w:spacing w:before="120" w:after="40" w:line="240" w:lineRule="auto"/>
      </w:pPr>
      <w:r>
        <w:t>Company fundamentals to monitor</w:t>
      </w:r>
    </w:p>
    <w:p>
      <w:pPr>
        <w:spacing w:before="0" w:after="20" w:line="247" w:lineRule="auto"/>
        <w:ind w:left="198"/>
      </w:pPr>
      <w:r>
        <w:rPr>
          <w:b/>
        </w:rPr>
        <w:t xml:space="preserve">• </w:t>
      </w:r>
      <w:r>
        <w:t>Management has highlighted AI-led data-centre demand as a meaningful growth driver.</w:t>
      </w:r>
    </w:p>
    <w:p>
      <w:pPr>
        <w:spacing w:before="0" w:after="20" w:line="247" w:lineRule="auto"/>
        <w:ind w:left="198"/>
      </w:pPr>
      <w:r>
        <w:rPr>
          <w:b/>
        </w:rPr>
        <w:t xml:space="preserve">• </w:t>
      </w:r>
      <w:r>
        <w:t>Recent acquisitions expanded exposure to data-centre modules and liquid-cooling capability.</w:t>
      </w:r>
    </w:p>
    <w:p>
      <w:pPr>
        <w:spacing w:before="0" w:after="20" w:line="247" w:lineRule="auto"/>
        <w:ind w:left="198"/>
      </w:pPr>
      <w:r>
        <w:rPr>
          <w:b/>
        </w:rPr>
        <w:t xml:space="preserve">• </w:t>
      </w:r>
      <w:r>
        <w:t>Scale, product breadth and execution quality are best-in-class.</w:t>
      </w:r>
    </w:p>
    <w:p>
      <w:pPr>
        <w:pStyle w:val="Heading2"/>
        <w:spacing w:before="120" w:after="40" w:line="240" w:lineRule="auto"/>
      </w:pPr>
      <w:r>
        <w:t>Entry zones and dealing discipline</w:t>
      </w:r>
    </w:p>
    <w:tbl>
      <w:tblPr>
        <w:tblW w:type="auto" w:w="0"/>
        <w:jc w:val="left"/>
        <w:tblLook w:firstColumn="1" w:firstRow="1" w:lastColumn="0" w:lastRow="0" w:noHBand="0" w:noVBand="1" w:val="04A0"/>
      </w:tblPr>
      <w:tblGrid>
        <w:gridCol w:w="4989"/>
        <w:gridCol w:w="4989"/>
      </w:tblGrid>
      <w:tr>
        <w:tc>
          <w:tcPr>
            <w:tcW w:type="dxa" w:w="4989"/>
            <w:tcMar>
              <w:top w:w="110" w:type="dxa"/>
              <w:start w:w="100" w:type="dxa"/>
              <w:bottom w:w="110" w:type="dxa"/>
              <w:end w:w="100" w:type="dxa"/>
            </w:tcMar>
            <w:vAlign w:val="center"/>
            <w:shd w:fill="D9EAF7"/>
          </w:tcPr>
          <w:p>
            <w:pPr>
              <w:spacing w:before="0" w:after="0" w:line="240" w:lineRule="auto"/>
            </w:pPr>
            <w:r>
              <w:rPr>
                <w:b/>
                <w:color w:val="2F5496"/>
                <w:sz w:val="19"/>
              </w:rPr>
              <w:t>Accumulation zone</w:t>
            </w:r>
          </w:p>
        </w:tc>
        <w:tc>
          <w:tcPr>
            <w:tcW w:type="dxa" w:w="4989"/>
            <w:tcMar>
              <w:top w:w="110" w:type="dxa"/>
              <w:start w:w="100" w:type="dxa"/>
              <w:bottom w:w="110" w:type="dxa"/>
              <w:end w:w="100" w:type="dxa"/>
            </w:tcMar>
            <w:vAlign w:val="center"/>
            <w:shd w:fill="FFFFFF"/>
          </w:tcPr>
          <w:p>
            <w:pPr>
              <w:spacing w:before="0" w:after="0" w:line="240" w:lineRule="auto"/>
            </w:pPr>
            <w:r>
              <w:rPr>
                <w:sz w:val="19"/>
              </w:rPr>
              <w:t>$385-$405</w:t>
            </w:r>
          </w:p>
        </w:tc>
      </w:tr>
      <w:tr>
        <w:tc>
          <w:tcPr>
            <w:tcW w:type="dxa" w:w="4989"/>
            <w:tcMar>
              <w:top w:w="110" w:type="dxa"/>
              <w:start w:w="100" w:type="dxa"/>
              <w:bottom w:w="110" w:type="dxa"/>
              <w:end w:w="100" w:type="dxa"/>
            </w:tcMar>
            <w:vAlign w:val="center"/>
            <w:shd w:fill="D9EAF7"/>
          </w:tcPr>
          <w:p>
            <w:pPr>
              <w:spacing w:before="0" w:after="0" w:line="240" w:lineRule="auto"/>
            </w:pPr>
            <w:r>
              <w:rPr>
                <w:b/>
                <w:color w:val="2F5496"/>
                <w:sz w:val="19"/>
              </w:rPr>
              <w:t>Better value zone</w:t>
            </w:r>
          </w:p>
        </w:tc>
        <w:tc>
          <w:tcPr>
            <w:tcW w:type="dxa" w:w="4989"/>
            <w:tcMar>
              <w:top w:w="110" w:type="dxa"/>
              <w:start w:w="100" w:type="dxa"/>
              <w:bottom w:w="110" w:type="dxa"/>
              <w:end w:w="100" w:type="dxa"/>
            </w:tcMar>
            <w:vAlign w:val="center"/>
            <w:shd w:fill="FFFFFF"/>
          </w:tcPr>
          <w:p>
            <w:pPr>
              <w:spacing w:before="0" w:after="0" w:line="240" w:lineRule="auto"/>
            </w:pPr>
            <w:r>
              <w:rPr>
                <w:sz w:val="19"/>
              </w:rPr>
              <w:t>$360-$384</w:t>
            </w:r>
          </w:p>
        </w:tc>
      </w:tr>
      <w:tr>
        <w:tc>
          <w:tcPr>
            <w:tcW w:type="dxa" w:w="4989"/>
            <w:tcMar>
              <w:top w:w="110" w:type="dxa"/>
              <w:start w:w="100" w:type="dxa"/>
              <w:bottom w:w="110" w:type="dxa"/>
              <w:end w:w="100" w:type="dxa"/>
            </w:tcMar>
            <w:vAlign w:val="center"/>
            <w:shd w:fill="D9EAF7"/>
          </w:tcPr>
          <w:p>
            <w:pPr>
              <w:spacing w:before="0" w:after="0" w:line="240" w:lineRule="auto"/>
            </w:pPr>
            <w:r>
              <w:rPr>
                <w:b/>
                <w:color w:val="2F5496"/>
                <w:sz w:val="19"/>
              </w:rPr>
              <w:t>Thesis break / hard caution level</w:t>
            </w:r>
          </w:p>
        </w:tc>
        <w:tc>
          <w:tcPr>
            <w:tcW w:type="dxa" w:w="4989"/>
            <w:tcMar>
              <w:top w:w="110" w:type="dxa"/>
              <w:start w:w="100" w:type="dxa"/>
              <w:bottom w:w="110" w:type="dxa"/>
              <w:end w:w="100" w:type="dxa"/>
            </w:tcMar>
            <w:vAlign w:val="center"/>
            <w:shd w:fill="FFFFFF"/>
          </w:tcPr>
          <w:p>
            <w:pPr>
              <w:spacing w:before="0" w:after="0" w:line="240" w:lineRule="auto"/>
            </w:pPr>
            <w:r>
              <w:rPr>
                <w:sz w:val="19"/>
              </w:rPr>
              <w:t>Below $345 on deteriorating orders or margin pressure</w:t>
            </w:r>
          </w:p>
        </w:tc>
      </w:tr>
      <w:tr>
        <w:tc>
          <w:tcPr>
            <w:tcW w:type="dxa" w:w="4989"/>
            <w:tcMar>
              <w:top w:w="110" w:type="dxa"/>
              <w:start w:w="100" w:type="dxa"/>
              <w:bottom w:w="110" w:type="dxa"/>
              <w:end w:w="100" w:type="dxa"/>
            </w:tcMar>
            <w:vAlign w:val="center"/>
            <w:shd w:fill="EAF2F8"/>
          </w:tcPr>
          <w:p>
            <w:pPr>
              <w:spacing w:before="0" w:after="0" w:line="240" w:lineRule="auto"/>
            </w:pPr>
            <w:r>
              <w:rPr>
                <w:b/>
                <w:color w:val="2F5496"/>
                <w:sz w:val="19"/>
              </w:rPr>
              <w:t>Suggested approach</w:t>
            </w:r>
          </w:p>
        </w:tc>
        <w:tc>
          <w:tcPr>
            <w:tcW w:type="dxa" w:w="4989"/>
            <w:tcMar>
              <w:top w:w="110" w:type="dxa"/>
              <w:start w:w="100" w:type="dxa"/>
              <w:bottom w:w="110" w:type="dxa"/>
              <w:end w:w="100" w:type="dxa"/>
            </w:tcMar>
            <w:vAlign w:val="center"/>
            <w:shd w:fill="FFFFFF"/>
          </w:tcPr>
          <w:p>
            <w:pPr>
              <w:spacing w:before="0" w:after="0" w:line="240" w:lineRule="auto"/>
            </w:pPr>
            <w:r>
              <w:rPr>
                <w:sz w:val="19"/>
              </w:rPr>
              <w:t>Build in tranches rather than one order. Favour weakness into support or post-earnings dislocation over momentum chasing.</w:t>
            </w:r>
          </w:p>
        </w:tc>
      </w:tr>
    </w:tbl>
    <w:p>
      <w:pPr>
        <w:pStyle w:val="Heading2"/>
        <w:spacing w:before="120" w:after="40" w:line="240" w:lineRule="auto"/>
      </w:pPr>
      <w:r>
        <w:t>Catalysts and risks</w:t>
      </w:r>
    </w:p>
    <w:tbl>
      <w:tblPr>
        <w:tblW w:type="auto" w:w="0"/>
        <w:jc w:val="center"/>
        <w:tblLook w:firstColumn="1" w:firstRow="1" w:lastColumn="0" w:lastRow="0" w:noHBand="0" w:noVBand="1" w:val="04A0"/>
      </w:tblPr>
      <w:tblGrid>
        <w:gridCol w:w="4989"/>
        <w:gridCol w:w="4989"/>
      </w:tblGrid>
      <w:tr>
        <w:tc>
          <w:tcPr>
            <w:tcW w:type="dxa" w:w="4989"/>
            <w:shd w:fill="EAF2F8"/>
            <w:tcMar>
              <w:top w:w="130" w:type="dxa"/>
              <w:start w:w="120" w:type="dxa"/>
              <w:bottom w:w="130" w:type="dxa"/>
              <w:end w:w="120" w:type="dxa"/>
            </w:tcMar>
          </w:tcPr>
          <w:p>
            <w:pPr>
              <w:spacing w:before="0" w:after="40" w:line="240" w:lineRule="auto"/>
            </w:pPr>
            <w:r/>
            <w:r>
              <w:rPr>
                <w:b/>
                <w:color w:val="2F5496"/>
                <w:sz w:val="20"/>
              </w:rPr>
              <w:t>Upside catalysts</w:t>
            </w:r>
          </w:p>
          <w:p>
            <w:pPr>
              <w:spacing w:before="0" w:after="20" w:line="247" w:lineRule="auto"/>
              <w:ind w:left="142"/>
            </w:pPr>
            <w:r>
              <w:rPr>
                <w:b/>
              </w:rPr>
              <w:t xml:space="preserve">• </w:t>
            </w:r>
            <w:r>
              <w:t>Further data-centre and utility backlog growth</w:t>
            </w:r>
          </w:p>
          <w:p>
            <w:pPr>
              <w:spacing w:before="0" w:after="20" w:line="247" w:lineRule="auto"/>
              <w:ind w:left="142"/>
            </w:pPr>
            <w:r>
              <w:rPr>
                <w:b/>
              </w:rPr>
              <w:t xml:space="preserve">• </w:t>
            </w:r>
            <w:r>
              <w:t>Cooling integration upside</w:t>
            </w:r>
          </w:p>
          <w:p>
            <w:pPr>
              <w:spacing w:before="0" w:after="20" w:line="247" w:lineRule="auto"/>
              <w:ind w:left="142"/>
            </w:pPr>
            <w:r>
              <w:rPr>
                <w:b/>
              </w:rPr>
              <w:t xml:space="preserve">• </w:t>
            </w:r>
            <w:r>
              <w:t>Raised long-term margin expectations</w:t>
            </w:r>
          </w:p>
        </w:tc>
        <w:tc>
          <w:tcPr>
            <w:tcW w:type="dxa" w:w="4989"/>
            <w:shd w:fill="F4F6F8"/>
            <w:tcMar>
              <w:top w:w="130" w:type="dxa"/>
              <w:start w:w="120" w:type="dxa"/>
              <w:bottom w:w="130" w:type="dxa"/>
              <w:end w:w="120" w:type="dxa"/>
            </w:tcMar>
          </w:tcPr>
          <w:p>
            <w:pPr>
              <w:spacing w:before="0" w:after="40" w:line="240" w:lineRule="auto"/>
            </w:pPr>
            <w:r/>
            <w:r>
              <w:rPr>
                <w:b/>
                <w:color w:val="2F5496"/>
                <w:sz w:val="20"/>
              </w:rPr>
              <w:t>Principal risks</w:t>
            </w:r>
          </w:p>
          <w:p>
            <w:pPr>
              <w:spacing w:before="0" w:after="20" w:line="247" w:lineRule="auto"/>
              <w:ind w:left="142"/>
            </w:pPr>
            <w:r>
              <w:rPr>
                <w:b/>
              </w:rPr>
              <w:t xml:space="preserve">• </w:t>
            </w:r>
            <w:r>
              <w:t>Premium valuation compressing</w:t>
            </w:r>
          </w:p>
          <w:p>
            <w:pPr>
              <w:spacing w:before="0" w:after="20" w:line="247" w:lineRule="auto"/>
              <w:ind w:left="142"/>
            </w:pPr>
            <w:r>
              <w:rPr>
                <w:b/>
              </w:rPr>
              <w:t xml:space="preserve">• </w:t>
            </w:r>
            <w:r>
              <w:t>Order digestion after a strong run</w:t>
            </w:r>
          </w:p>
          <w:p>
            <w:pPr>
              <w:spacing w:before="0" w:after="20" w:line="247" w:lineRule="auto"/>
              <w:ind w:left="142"/>
            </w:pPr>
            <w:r>
              <w:rPr>
                <w:b/>
              </w:rPr>
              <w:t xml:space="preserve">• </w:t>
            </w:r>
            <w:r>
              <w:t>Cooling expectations outpacing realised contribution</w:t>
            </w:r>
          </w:p>
        </w:tc>
      </w:tr>
    </w:tbl>
    <w:p>
      <w:pPr>
        <w:pStyle w:val="Heading1"/>
        <w:spacing w:before="200" w:after="40" w:line="240" w:lineRule="auto"/>
      </w:pPr>
      <w:r>
        <w:t>6. Amphenol (APH)</w:t>
      </w:r>
    </w:p>
    <w:p>
      <w:pPr>
        <w:spacing w:before="0" w:after="160" w:line="240" w:lineRule="auto"/>
      </w:pPr>
      <w:r>
        <w:rPr>
          <w:b/>
          <w:color w:val="2F5496"/>
          <w:sz w:val="22"/>
        </w:rPr>
        <w:t>Top-quality connector/interconnect name, but pricey</w:t>
      </w:r>
    </w:p>
    <w:tbl>
      <w:tblPr>
        <w:tblW w:type="auto" w:w="0"/>
        <w:jc w:val="center"/>
        <w:tblLook w:firstColumn="1" w:firstRow="1" w:lastColumn="0" w:lastRow="0" w:noHBand="0" w:noVBand="1" w:val="04A0"/>
      </w:tblPr>
      <w:tblGrid>
        <w:gridCol w:w="2494"/>
        <w:gridCol w:w="2494"/>
        <w:gridCol w:w="2494"/>
        <w:gridCol w:w="2494"/>
      </w:tblGrid>
      <w:tr>
        <w:tc>
          <w:tcPr>
            <w:tcW w:type="dxa" w:w="2494"/>
            <w:shd w:fill="D9EAF7"/>
            <w:tcMar>
              <w:top w:w="110" w:type="dxa"/>
              <w:start w:w="90" w:type="dxa"/>
              <w:bottom w:w="110" w:type="dxa"/>
              <w:end w:w="90" w:type="dxa"/>
            </w:tcMar>
            <w:vAlign w:val="center"/>
          </w:tcPr>
          <w:p>
            <w:pPr>
              <w:spacing w:before="0" w:after="0" w:line="240" w:lineRule="auto"/>
            </w:pPr>
            <w:r>
              <w:rPr>
                <w:b/>
                <w:color w:val="1F4E79"/>
                <w:sz w:val="19"/>
              </w:rPr>
              <w:t>Current price</w:t>
            </w:r>
          </w:p>
        </w:tc>
        <w:tc>
          <w:tcPr>
            <w:tcW w:type="dxa" w:w="2494"/>
            <w:shd w:fill="D9EAF7"/>
            <w:tcMar>
              <w:top w:w="110" w:type="dxa"/>
              <w:start w:w="90" w:type="dxa"/>
              <w:bottom w:w="110" w:type="dxa"/>
              <w:end w:w="90" w:type="dxa"/>
            </w:tcMar>
            <w:vAlign w:val="center"/>
          </w:tcPr>
          <w:p>
            <w:pPr>
              <w:spacing w:before="0" w:after="0" w:line="240" w:lineRule="auto"/>
            </w:pPr>
            <w:r>
              <w:rPr>
                <w:b/>
                <w:color w:val="1F4E79"/>
                <w:sz w:val="19"/>
              </w:rPr>
              <w:t>Market cap</w:t>
            </w:r>
          </w:p>
        </w:tc>
        <w:tc>
          <w:tcPr>
            <w:tcW w:type="dxa" w:w="2494"/>
            <w:shd w:fill="D9EAF7"/>
            <w:tcMar>
              <w:top w:w="110" w:type="dxa"/>
              <w:start w:w="90" w:type="dxa"/>
              <w:bottom w:w="110" w:type="dxa"/>
              <w:end w:w="90" w:type="dxa"/>
            </w:tcMar>
            <w:vAlign w:val="center"/>
          </w:tcPr>
          <w:p>
            <w:pPr>
              <w:spacing w:before="0" w:after="0" w:line="240" w:lineRule="auto"/>
            </w:pPr>
            <w:r>
              <w:rPr>
                <w:b/>
                <w:color w:val="1F4E79"/>
                <w:sz w:val="19"/>
              </w:rPr>
              <w:t>Trailing P/E</w:t>
            </w:r>
          </w:p>
        </w:tc>
        <w:tc>
          <w:tcPr>
            <w:tcW w:type="dxa" w:w="2494"/>
            <w:shd w:fill="D9EAF7"/>
            <w:tcMar>
              <w:top w:w="110" w:type="dxa"/>
              <w:start w:w="90" w:type="dxa"/>
              <w:bottom w:w="110" w:type="dxa"/>
              <w:end w:w="90" w:type="dxa"/>
            </w:tcMar>
            <w:vAlign w:val="center"/>
          </w:tcPr>
          <w:p>
            <w:pPr>
              <w:spacing w:before="0" w:after="0" w:line="240" w:lineRule="auto"/>
            </w:pPr>
            <w:r>
              <w:rPr>
                <w:b/>
                <w:color w:val="1F4E79"/>
                <w:sz w:val="19"/>
              </w:rPr>
              <w:t>Conviction</w:t>
            </w:r>
          </w:p>
        </w:tc>
      </w:tr>
      <w:tr>
        <w:tc>
          <w:tcPr>
            <w:tcW w:type="dxa" w:w="2494"/>
            <w:shd w:fill="FFFFFF"/>
            <w:tcMar>
              <w:top w:w="110" w:type="dxa"/>
              <w:start w:w="90" w:type="dxa"/>
              <w:bottom w:w="110" w:type="dxa"/>
              <w:end w:w="90" w:type="dxa"/>
            </w:tcMar>
            <w:vAlign w:val="center"/>
          </w:tcPr>
          <w:p>
            <w:pPr>
              <w:spacing w:before="0" w:after="0" w:line="240" w:lineRule="auto"/>
            </w:pPr>
            <w:r>
              <w:rPr>
                <w:sz w:val="19"/>
              </w:rPr>
              <w:t>$145.27</w:t>
            </w:r>
          </w:p>
        </w:tc>
        <w:tc>
          <w:tcPr>
            <w:tcW w:type="dxa" w:w="2494"/>
            <w:shd w:fill="FFFFFF"/>
            <w:tcMar>
              <w:top w:w="110" w:type="dxa"/>
              <w:start w:w="90" w:type="dxa"/>
              <w:bottom w:w="110" w:type="dxa"/>
              <w:end w:w="90" w:type="dxa"/>
            </w:tcMar>
            <w:vAlign w:val="center"/>
          </w:tcPr>
          <w:p>
            <w:pPr>
              <w:spacing w:before="0" w:after="0" w:line="240" w:lineRule="auto"/>
            </w:pPr>
            <w:r>
              <w:rPr>
                <w:sz w:val="19"/>
              </w:rPr>
              <w:t>$151.1bn</w:t>
            </w:r>
          </w:p>
        </w:tc>
        <w:tc>
          <w:tcPr>
            <w:tcW w:type="dxa" w:w="2494"/>
            <w:shd w:fill="FFFFFF"/>
            <w:tcMar>
              <w:top w:w="110" w:type="dxa"/>
              <w:start w:w="90" w:type="dxa"/>
              <w:bottom w:w="110" w:type="dxa"/>
              <w:end w:w="90" w:type="dxa"/>
            </w:tcMar>
            <w:vAlign w:val="center"/>
          </w:tcPr>
          <w:p>
            <w:pPr>
              <w:spacing w:before="0" w:after="0" w:line="240" w:lineRule="auto"/>
            </w:pPr>
            <w:r>
              <w:rPr>
                <w:sz w:val="19"/>
              </w:rPr>
              <w:t>39.5x</w:t>
            </w:r>
          </w:p>
        </w:tc>
        <w:tc>
          <w:tcPr>
            <w:tcW w:type="dxa" w:w="2494"/>
            <w:shd w:fill="FFFFFF"/>
            <w:tcMar>
              <w:top w:w="110" w:type="dxa"/>
              <w:start w:w="90" w:type="dxa"/>
              <w:bottom w:w="110" w:type="dxa"/>
              <w:end w:w="90" w:type="dxa"/>
            </w:tcMar>
            <w:vAlign w:val="center"/>
          </w:tcPr>
          <w:p>
            <w:pPr>
              <w:spacing w:before="0" w:after="0" w:line="240" w:lineRule="auto"/>
            </w:pPr>
            <w:r>
              <w:rPr>
                <w:b/>
                <w:color w:val="2F5496"/>
                <w:sz w:val="19"/>
              </w:rPr>
              <w:t>Medium</w:t>
            </w:r>
          </w:p>
        </w:tc>
      </w:tr>
    </w:tbl>
    <w:p>
      <w:pPr>
        <w:pStyle w:val="Heading2"/>
        <w:spacing w:before="120" w:after="40" w:line="240" w:lineRule="auto"/>
      </w:pPr>
      <w:r>
        <w:t>Why it benefits from AI roll-out</w:t>
      </w:r>
    </w:p>
    <w:p>
      <w:pPr>
        <w:spacing w:before="0" w:after="120" w:line="259" w:lineRule="auto"/>
      </w:pPr>
      <w:r>
        <w:t>Amphenol is a premier interconnect business with direct exposure to the data movement problem inside AI clusters. The business quality is superb, but the stock is not obviously cheap relative to the rest of the list.</w:t>
      </w:r>
    </w:p>
    <w:p>
      <w:pPr>
        <w:pStyle w:val="Heading2"/>
        <w:spacing w:before="120" w:after="40" w:line="240" w:lineRule="auto"/>
      </w:pPr>
      <w:r>
        <w:t>Why it makes the watchlist now</w:t>
      </w:r>
    </w:p>
    <w:p>
      <w:pPr>
        <w:spacing w:before="0" w:after="120" w:line="259" w:lineRule="auto"/>
      </w:pPr>
      <w:r>
        <w:t>This is the quality name to own on pull-backs, not the one I would call the cheapest opportunity today. It stays on the list because the fundamentals are very strong.</w:t>
      </w:r>
    </w:p>
    <w:p>
      <w:pPr>
        <w:pStyle w:val="Heading2"/>
        <w:spacing w:before="120" w:after="40" w:line="240" w:lineRule="auto"/>
      </w:pPr>
      <w:r>
        <w:t>Company fundamentals to monitor</w:t>
      </w:r>
    </w:p>
    <w:p>
      <w:pPr>
        <w:spacing w:before="0" w:after="20" w:line="247" w:lineRule="auto"/>
        <w:ind w:left="198"/>
      </w:pPr>
      <w:r>
        <w:rPr>
          <w:b/>
        </w:rPr>
        <w:t xml:space="preserve">• </w:t>
      </w:r>
      <w:r>
        <w:t>Recent results showed exceptional organic growth in the IT datacom market.</w:t>
      </w:r>
    </w:p>
    <w:p>
      <w:pPr>
        <w:spacing w:before="0" w:after="20" w:line="247" w:lineRule="auto"/>
        <w:ind w:left="198"/>
      </w:pPr>
      <w:r>
        <w:rPr>
          <w:b/>
        </w:rPr>
        <w:t xml:space="preserve">• </w:t>
      </w:r>
      <w:r>
        <w:t>The portfolio is deep in connectors, cables and fibre solutions that are increasingly important in dense AI architectures.</w:t>
      </w:r>
    </w:p>
    <w:p>
      <w:pPr>
        <w:spacing w:before="0" w:after="20" w:line="247" w:lineRule="auto"/>
        <w:ind w:left="198"/>
      </w:pPr>
      <w:r>
        <w:rPr>
          <w:b/>
        </w:rPr>
        <w:t xml:space="preserve">• </w:t>
      </w:r>
      <w:r>
        <w:t>Excellent management and decentralised execution model support compounding.</w:t>
      </w:r>
    </w:p>
    <w:p>
      <w:pPr>
        <w:pStyle w:val="Heading2"/>
        <w:spacing w:before="120" w:after="40" w:line="240" w:lineRule="auto"/>
      </w:pPr>
      <w:r>
        <w:t>Entry zones and dealing discipline</w:t>
      </w:r>
    </w:p>
    <w:tbl>
      <w:tblPr>
        <w:tblW w:type="auto" w:w="0"/>
        <w:jc w:val="left"/>
        <w:tblLook w:firstColumn="1" w:firstRow="1" w:lastColumn="0" w:lastRow="0" w:noHBand="0" w:noVBand="1" w:val="04A0"/>
      </w:tblPr>
      <w:tblGrid>
        <w:gridCol w:w="4989"/>
        <w:gridCol w:w="4989"/>
      </w:tblGrid>
      <w:tr>
        <w:tc>
          <w:tcPr>
            <w:tcW w:type="dxa" w:w="4989"/>
            <w:tcMar>
              <w:top w:w="110" w:type="dxa"/>
              <w:start w:w="100" w:type="dxa"/>
              <w:bottom w:w="110" w:type="dxa"/>
              <w:end w:w="100" w:type="dxa"/>
            </w:tcMar>
            <w:vAlign w:val="center"/>
            <w:shd w:fill="D9EAF7"/>
          </w:tcPr>
          <w:p>
            <w:pPr>
              <w:spacing w:before="0" w:after="0" w:line="240" w:lineRule="auto"/>
            </w:pPr>
            <w:r>
              <w:rPr>
                <w:b/>
                <w:color w:val="2F5496"/>
                <w:sz w:val="19"/>
              </w:rPr>
              <w:t>Accumulation zone</w:t>
            </w:r>
          </w:p>
        </w:tc>
        <w:tc>
          <w:tcPr>
            <w:tcW w:type="dxa" w:w="4989"/>
            <w:tcMar>
              <w:top w:w="110" w:type="dxa"/>
              <w:start w:w="100" w:type="dxa"/>
              <w:bottom w:w="110" w:type="dxa"/>
              <w:end w:w="100" w:type="dxa"/>
            </w:tcMar>
            <w:vAlign w:val="center"/>
            <w:shd w:fill="FFFFFF"/>
          </w:tcPr>
          <w:p>
            <w:pPr>
              <w:spacing w:before="0" w:after="0" w:line="240" w:lineRule="auto"/>
            </w:pPr>
            <w:r>
              <w:rPr>
                <w:sz w:val="19"/>
              </w:rPr>
              <w:t>$138-$145</w:t>
            </w:r>
          </w:p>
        </w:tc>
      </w:tr>
      <w:tr>
        <w:tc>
          <w:tcPr>
            <w:tcW w:type="dxa" w:w="4989"/>
            <w:tcMar>
              <w:top w:w="110" w:type="dxa"/>
              <w:start w:w="100" w:type="dxa"/>
              <w:bottom w:w="110" w:type="dxa"/>
              <w:end w:w="100" w:type="dxa"/>
            </w:tcMar>
            <w:vAlign w:val="center"/>
            <w:shd w:fill="D9EAF7"/>
          </w:tcPr>
          <w:p>
            <w:pPr>
              <w:spacing w:before="0" w:after="0" w:line="240" w:lineRule="auto"/>
            </w:pPr>
            <w:r>
              <w:rPr>
                <w:b/>
                <w:color w:val="2F5496"/>
                <w:sz w:val="19"/>
              </w:rPr>
              <w:t>Better value zone</w:t>
            </w:r>
          </w:p>
        </w:tc>
        <w:tc>
          <w:tcPr>
            <w:tcW w:type="dxa" w:w="4989"/>
            <w:tcMar>
              <w:top w:w="110" w:type="dxa"/>
              <w:start w:w="100" w:type="dxa"/>
              <w:bottom w:w="110" w:type="dxa"/>
              <w:end w:w="100" w:type="dxa"/>
            </w:tcMar>
            <w:vAlign w:val="center"/>
            <w:shd w:fill="FFFFFF"/>
          </w:tcPr>
          <w:p>
            <w:pPr>
              <w:spacing w:before="0" w:after="0" w:line="240" w:lineRule="auto"/>
            </w:pPr>
            <w:r>
              <w:rPr>
                <w:sz w:val="19"/>
              </w:rPr>
              <w:t>$128-$137</w:t>
            </w:r>
          </w:p>
        </w:tc>
      </w:tr>
      <w:tr>
        <w:tc>
          <w:tcPr>
            <w:tcW w:type="dxa" w:w="4989"/>
            <w:tcMar>
              <w:top w:w="110" w:type="dxa"/>
              <w:start w:w="100" w:type="dxa"/>
              <w:bottom w:w="110" w:type="dxa"/>
              <w:end w:w="100" w:type="dxa"/>
            </w:tcMar>
            <w:vAlign w:val="center"/>
            <w:shd w:fill="D9EAF7"/>
          </w:tcPr>
          <w:p>
            <w:pPr>
              <w:spacing w:before="0" w:after="0" w:line="240" w:lineRule="auto"/>
            </w:pPr>
            <w:r>
              <w:rPr>
                <w:b/>
                <w:color w:val="2F5496"/>
                <w:sz w:val="19"/>
              </w:rPr>
              <w:t>Thesis break / hard caution level</w:t>
            </w:r>
          </w:p>
        </w:tc>
        <w:tc>
          <w:tcPr>
            <w:tcW w:type="dxa" w:w="4989"/>
            <w:tcMar>
              <w:top w:w="110" w:type="dxa"/>
              <w:start w:w="100" w:type="dxa"/>
              <w:bottom w:w="110" w:type="dxa"/>
              <w:end w:w="100" w:type="dxa"/>
            </w:tcMar>
            <w:vAlign w:val="center"/>
            <w:shd w:fill="FFFFFF"/>
          </w:tcPr>
          <w:p>
            <w:pPr>
              <w:spacing w:before="0" w:after="0" w:line="240" w:lineRule="auto"/>
            </w:pPr>
            <w:r>
              <w:rPr>
                <w:sz w:val="19"/>
              </w:rPr>
              <w:t>Below $122 if datacom demand slows sharply</w:t>
            </w:r>
          </w:p>
        </w:tc>
      </w:tr>
      <w:tr>
        <w:tc>
          <w:tcPr>
            <w:tcW w:type="dxa" w:w="4989"/>
            <w:tcMar>
              <w:top w:w="110" w:type="dxa"/>
              <w:start w:w="100" w:type="dxa"/>
              <w:bottom w:w="110" w:type="dxa"/>
              <w:end w:w="100" w:type="dxa"/>
            </w:tcMar>
            <w:vAlign w:val="center"/>
            <w:shd w:fill="EAF2F8"/>
          </w:tcPr>
          <w:p>
            <w:pPr>
              <w:spacing w:before="0" w:after="0" w:line="240" w:lineRule="auto"/>
            </w:pPr>
            <w:r>
              <w:rPr>
                <w:b/>
                <w:color w:val="2F5496"/>
                <w:sz w:val="19"/>
              </w:rPr>
              <w:t>Suggested approach</w:t>
            </w:r>
          </w:p>
        </w:tc>
        <w:tc>
          <w:tcPr>
            <w:tcW w:type="dxa" w:w="4989"/>
            <w:tcMar>
              <w:top w:w="110" w:type="dxa"/>
              <w:start w:w="100" w:type="dxa"/>
              <w:bottom w:w="110" w:type="dxa"/>
              <w:end w:w="100" w:type="dxa"/>
            </w:tcMar>
            <w:vAlign w:val="center"/>
            <w:shd w:fill="FFFFFF"/>
          </w:tcPr>
          <w:p>
            <w:pPr>
              <w:spacing w:before="0" w:after="0" w:line="240" w:lineRule="auto"/>
            </w:pPr>
            <w:r>
              <w:rPr>
                <w:sz w:val="19"/>
              </w:rPr>
              <w:t>Build in tranches rather than one order. Favour weakness into support or post-earnings dislocation over momentum chasing.</w:t>
            </w:r>
          </w:p>
        </w:tc>
      </w:tr>
    </w:tbl>
    <w:p>
      <w:pPr>
        <w:pStyle w:val="Heading2"/>
        <w:spacing w:before="120" w:after="40" w:line="240" w:lineRule="auto"/>
      </w:pPr>
      <w:r>
        <w:t>Catalysts and risks</w:t>
      </w:r>
    </w:p>
    <w:tbl>
      <w:tblPr>
        <w:tblW w:type="auto" w:w="0"/>
        <w:jc w:val="center"/>
        <w:tblLook w:firstColumn="1" w:firstRow="1" w:lastColumn="0" w:lastRow="0" w:noHBand="0" w:noVBand="1" w:val="04A0"/>
      </w:tblPr>
      <w:tblGrid>
        <w:gridCol w:w="4989"/>
        <w:gridCol w:w="4989"/>
      </w:tblGrid>
      <w:tr>
        <w:tc>
          <w:tcPr>
            <w:tcW w:type="dxa" w:w="4989"/>
            <w:shd w:fill="EAF2F8"/>
            <w:tcMar>
              <w:top w:w="130" w:type="dxa"/>
              <w:start w:w="120" w:type="dxa"/>
              <w:bottom w:w="130" w:type="dxa"/>
              <w:end w:w="120" w:type="dxa"/>
            </w:tcMar>
          </w:tcPr>
          <w:p>
            <w:pPr>
              <w:spacing w:before="0" w:after="40" w:line="240" w:lineRule="auto"/>
            </w:pPr>
            <w:r/>
            <w:r>
              <w:rPr>
                <w:b/>
                <w:color w:val="2F5496"/>
                <w:sz w:val="20"/>
              </w:rPr>
              <w:t>Upside catalysts</w:t>
            </w:r>
          </w:p>
          <w:p>
            <w:pPr>
              <w:spacing w:before="0" w:after="20" w:line="247" w:lineRule="auto"/>
              <w:ind w:left="142"/>
            </w:pPr>
            <w:r>
              <w:rPr>
                <w:b/>
              </w:rPr>
              <w:t xml:space="preserve">• </w:t>
            </w:r>
            <w:r>
              <w:t>Further IT datacom outperformance</w:t>
            </w:r>
          </w:p>
          <w:p>
            <w:pPr>
              <w:spacing w:before="0" w:after="20" w:line="247" w:lineRule="auto"/>
              <w:ind w:left="142"/>
            </w:pPr>
            <w:r>
              <w:rPr>
                <w:b/>
              </w:rPr>
              <w:t xml:space="preserve">• </w:t>
            </w:r>
            <w:r>
              <w:t>Fibre/interconnect content gains</w:t>
            </w:r>
          </w:p>
          <w:p>
            <w:pPr>
              <w:spacing w:before="0" w:after="20" w:line="247" w:lineRule="auto"/>
              <w:ind w:left="142"/>
            </w:pPr>
            <w:r>
              <w:rPr>
                <w:b/>
              </w:rPr>
              <w:t xml:space="preserve">• </w:t>
            </w:r>
            <w:r>
              <w:t>Continued margin resilience</w:t>
            </w:r>
          </w:p>
        </w:tc>
        <w:tc>
          <w:tcPr>
            <w:tcW w:type="dxa" w:w="4989"/>
            <w:shd w:fill="F4F6F8"/>
            <w:tcMar>
              <w:top w:w="130" w:type="dxa"/>
              <w:start w:w="120" w:type="dxa"/>
              <w:bottom w:w="130" w:type="dxa"/>
              <w:end w:w="120" w:type="dxa"/>
            </w:tcMar>
          </w:tcPr>
          <w:p>
            <w:pPr>
              <w:spacing w:before="0" w:after="40" w:line="240" w:lineRule="auto"/>
            </w:pPr>
            <w:r/>
            <w:r>
              <w:rPr>
                <w:b/>
                <w:color w:val="2F5496"/>
                <w:sz w:val="20"/>
              </w:rPr>
              <w:t>Principal risks</w:t>
            </w:r>
          </w:p>
          <w:p>
            <w:pPr>
              <w:spacing w:before="0" w:after="20" w:line="247" w:lineRule="auto"/>
              <w:ind w:left="142"/>
            </w:pPr>
            <w:r>
              <w:rPr>
                <w:b/>
              </w:rPr>
              <w:t xml:space="preserve">• </w:t>
            </w:r>
            <w:r>
              <w:t>Valuation risk more than business risk</w:t>
            </w:r>
          </w:p>
          <w:p>
            <w:pPr>
              <w:spacing w:before="0" w:after="20" w:line="247" w:lineRule="auto"/>
              <w:ind w:left="142"/>
            </w:pPr>
            <w:r>
              <w:rPr>
                <w:b/>
              </w:rPr>
              <w:t xml:space="preserve">• </w:t>
            </w:r>
            <w:r>
              <w:t>Any slowdown in hyperscaler hardware spend</w:t>
            </w:r>
          </w:p>
          <w:p>
            <w:pPr>
              <w:spacing w:before="0" w:after="20" w:line="247" w:lineRule="auto"/>
              <w:ind w:left="142"/>
            </w:pPr>
            <w:r>
              <w:rPr>
                <w:b/>
              </w:rPr>
              <w:t xml:space="preserve">• </w:t>
            </w:r>
            <w:r>
              <w:t>Rotation out of premium industrial/tech hybrids</w:t>
            </w:r>
          </w:p>
        </w:tc>
      </w:tr>
    </w:tbl>
    <w:p>
      <w:pPr>
        <w:pStyle w:val="Heading1"/>
        <w:spacing w:before="200" w:after="80" w:line="240" w:lineRule="auto"/>
      </w:pPr>
      <w:r>
        <w:t>Practical ranking for further work</w:t>
      </w:r>
    </w:p>
    <w:p>
      <w:pPr>
        <w:spacing w:before="0" w:after="40" w:line="247" w:lineRule="auto"/>
        <w:ind w:left="198"/>
      </w:pPr>
      <w:r>
        <w:rPr>
          <w:b/>
        </w:rPr>
        <w:t xml:space="preserve">• </w:t>
      </w:r>
      <w:r>
        <w:t>Highest-priority work: nVent, Jabil and Hubbell.</w:t>
      </w:r>
    </w:p>
    <w:p>
      <w:pPr>
        <w:spacing w:before="0" w:after="40" w:line="247" w:lineRule="auto"/>
        <w:ind w:left="198"/>
      </w:pPr>
      <w:r>
        <w:rPr>
          <w:b/>
        </w:rPr>
        <w:t xml:space="preserve">• </w:t>
      </w:r>
      <w:r>
        <w:t>Higher-beta addition once pricing is favourable: Amkor.</w:t>
      </w:r>
    </w:p>
    <w:p>
      <w:pPr>
        <w:spacing w:before="0" w:after="40" w:line="247" w:lineRule="auto"/>
        <w:ind w:left="198"/>
      </w:pPr>
      <w:r>
        <w:rPr>
          <w:b/>
        </w:rPr>
        <w:t xml:space="preserve">• </w:t>
      </w:r>
      <w:r>
        <w:t>Core-quality names to buy only on weakness: Eaton and Amphenol.</w:t>
      </w:r>
    </w:p>
    <w:p>
      <w:pPr>
        <w:spacing w:before="0" w:after="40" w:line="247" w:lineRule="auto"/>
        <w:ind w:left="198"/>
      </w:pPr>
      <w:r>
        <w:rPr>
          <w:b/>
        </w:rPr>
        <w:t xml:space="preserve">• </w:t>
      </w:r>
      <w:r>
        <w:t>Watch but do not chase at present valuation: Vertiv.</w:t>
      </w:r>
    </w:p>
    <w:p>
      <w:pPr>
        <w:spacing w:before="80" w:after="80" w:line="259" w:lineRule="auto"/>
      </w:pPr>
      <w:r>
        <w:rPr>
          <w:b/>
        </w:rPr>
        <w:t xml:space="preserve">Suggested next step: </w:t>
      </w:r>
      <w:r>
        <w:t>build a deeper model on the top three names, comparing order growth, margin trajectory, valuation bands, and which AI-spend scenarios would matter most to each stock.</w:t>
      </w:r>
    </w:p>
    <w:p>
      <w:pPr>
        <w:pStyle w:val="Heading1"/>
        <w:spacing w:before="160" w:after="80" w:line="240" w:lineRule="auto"/>
      </w:pPr>
      <w:r>
        <w:t>Source notes</w:t>
      </w:r>
    </w:p>
    <w:p>
      <w:pPr>
        <w:spacing w:before="0" w:after="80" w:line="259" w:lineRule="auto"/>
      </w:pPr>
      <w:r>
        <w:t>This note was built from current market prices as of 14 April 2026 and recent company / media reporting used in the prior screening process. Key references include:</w:t>
      </w:r>
    </w:p>
    <w:p>
      <w:pPr>
        <w:spacing w:before="0" w:after="40" w:line="247" w:lineRule="auto"/>
        <w:ind w:left="198"/>
      </w:pPr>
      <w:r>
        <w:rPr>
          <w:b/>
        </w:rPr>
        <w:t xml:space="preserve">• </w:t>
      </w:r>
      <w:r>
        <w:t>nVent Investor Day press release, March 2026, on three-year growth targets and stronger-than-expected Q1 trading.</w:t>
      </w:r>
    </w:p>
    <w:p>
      <w:pPr>
        <w:spacing w:before="0" w:after="40" w:line="247" w:lineRule="auto"/>
        <w:ind w:left="198"/>
      </w:pPr>
      <w:r>
        <w:rPr>
          <w:b/>
        </w:rPr>
        <w:t xml:space="preserve">• </w:t>
      </w:r>
      <w:r>
        <w:t>Jabil second-quarter FY2026 results, March 2026, on raised full-year outlook and AI/cloud demand.</w:t>
      </w:r>
    </w:p>
    <w:p>
      <w:pPr>
        <w:spacing w:before="0" w:after="40" w:line="247" w:lineRule="auto"/>
        <w:ind w:left="198"/>
      </w:pPr>
      <w:r>
        <w:rPr>
          <w:b/>
        </w:rPr>
        <w:t xml:space="preserve">• </w:t>
      </w:r>
      <w:r>
        <w:t>Reuters coverage on Hubbell, 2025-2026, on data-centre electrical demand and guidance.</w:t>
      </w:r>
    </w:p>
    <w:p>
      <w:pPr>
        <w:spacing w:before="0" w:after="40" w:line="247" w:lineRule="auto"/>
        <w:ind w:left="198"/>
      </w:pPr>
      <w:r>
        <w:rPr>
          <w:b/>
        </w:rPr>
        <w:t xml:space="preserve">• </w:t>
      </w:r>
      <w:r>
        <w:t>Amkor fourth-quarter and full-year 2025 results, plus Reuters reporting on Nvidia-related US packaging expansion.</w:t>
      </w:r>
    </w:p>
    <w:p>
      <w:pPr>
        <w:spacing w:before="0" w:after="40" w:line="247" w:lineRule="auto"/>
        <w:ind w:left="198"/>
      </w:pPr>
      <w:r>
        <w:rPr>
          <w:b/>
        </w:rPr>
        <w:t xml:space="preserve">• </w:t>
      </w:r>
      <w:r>
        <w:t>Reuters and company disclosures on Eaton's AI-led data-centre demand and related acquisitions in thermal and modular infrastructure.</w:t>
      </w:r>
    </w:p>
    <w:p>
      <w:pPr>
        <w:spacing w:before="0" w:after="40" w:line="247" w:lineRule="auto"/>
        <w:ind w:left="198"/>
      </w:pPr>
      <w:r>
        <w:rPr>
          <w:b/>
        </w:rPr>
        <w:t xml:space="preserve">• </w:t>
      </w:r>
      <w:r>
        <w:t>Amphenol fourth-quarter and full-year 2025 results on strong IT datacom demand.</w:t>
      </w:r>
    </w:p>
    <w:p>
      <w:pPr>
        <w:spacing w:before="0" w:after="40" w:line="247" w:lineRule="auto"/>
        <w:ind w:left="198"/>
      </w:pPr>
      <w:r>
        <w:rPr>
          <w:b/>
        </w:rPr>
        <w:t xml:space="preserve">• </w:t>
      </w:r>
      <w:r>
        <w:t>Market data snapshots for NVT, JBL, HUBB, AMKR, ETN, APH and VRT as of 14 April 2026.</w:t>
      </w:r>
    </w:p>
    <w:p>
      <w:pPr>
        <w:spacing w:before="160" w:after="0" w:line="250" w:lineRule="auto"/>
      </w:pPr>
      <w:r>
        <w:rPr>
          <w:b/>
        </w:rPr>
        <w:t xml:space="preserve">Disclaimer: </w:t>
      </w:r>
      <w:r>
        <w:t>This is a research watchlist for further analysis, not personalised investment advice. Entry zones are judgement-based tactical ranges using current prices, valuation discipline and qualitative support/resistance thinking; they are not formal target prices or a substitute for risk management.</w:t>
      </w:r>
    </w:p>
    <w:sectPr w:rsidR="00FC693F" w:rsidRPr="0006063C" w:rsidSect="00034616">
      <w:pgSz w:w="11906" w:h="16838"/>
      <w:pgMar w:top="850"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2F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