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p>
    <w:p>
      <w:pPr>
        <w:spacing w:after="120" w:before="0"/>
        <w:jc w:val="center"/>
      </w:pPr>
      <w:r>
        <w:rPr>
          <w:rFonts w:ascii="Arial" w:cs="Arial" w:eastAsia="Arial" w:hAnsi="Arial"/>
          <w:b/>
          <w:bCs/>
          <w:color w:val="1B2A4A"/>
          <w:sz w:val="72"/>
          <w:szCs w:val="72"/>
        </w:rPr>
        <w:t xml:space="preserve">FACTORIAL ENERGY</w:t>
      </w:r>
    </w:p>
    <w:p>
      <w:pPr>
        <w:spacing w:after="80" w:before="0"/>
        <w:jc w:val="center"/>
      </w:pPr>
      <w:r>
        <w:rPr>
          <w:rFonts w:ascii="Arial" w:cs="Arial" w:eastAsia="Arial" w:hAnsi="Arial"/>
          <w:b w:val="false"/>
          <w:bCs w:val="false"/>
          <w:color w:val="2E4E7A"/>
          <w:sz w:val="48"/>
          <w:szCs w:val="48"/>
        </w:rPr>
        <w:t xml:space="preserve">INVESTMENT CASE</w:t>
      </w:r>
    </w:p>
    <w:p>
      <w:pPr>
        <w:spacing w:after="240" w:before="0"/>
        <w:jc w:val="center"/>
      </w:pPr>
      <w:r>
        <w:rPr>
          <w:rFonts w:ascii="Arial" w:cs="Arial" w:eastAsia="Arial" w:hAnsi="Arial"/>
          <w:i/>
          <w:iCs/>
          <w:color w:val="2E4E7A"/>
          <w:sz w:val="28"/>
          <w:szCs w:val="28"/>
        </w:rPr>
        <w:t xml:space="preserve">Proposed Listing via CGCT Business Combination  |  NASDAQ: FAC</w:t>
      </w:r>
    </w:p>
    <w:p>
      <w:pPr>
        <w:pBdr>
          <w:bottom w:val="single" w:color="2E4E7A" w:sz="6" w:space="1"/>
        </w:pBdr>
      </w:pP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Entry Vehicle</w:t>
            </w:r>
          </w:p>
        </w:tc>
        <w:tc>
          <w:tcPr>
            <w:tcW w:type="dxa" w:w="312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Reference Price</w:t>
            </w:r>
          </w:p>
        </w:tc>
        <w:tc>
          <w:tcPr>
            <w:tcW w:type="dxa" w:w="312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Deal Deadline</w:t>
            </w:r>
          </w:p>
        </w:tc>
      </w:tr>
      <w:tr>
        <w:tc>
          <w:tcPr>
            <w:tcW w:type="dxa" w:w="312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bCs/>
                <w:color w:val="1B2A4A"/>
                <w:sz w:val="21"/>
                <w:szCs w:val="21"/>
              </w:rPr>
              <w:t xml:space="preserve">CGCT (Cartesian Growth Corp III)</w:t>
            </w:r>
          </w:p>
        </w:tc>
        <w:tc>
          <w:tcPr>
            <w:tcW w:type="dxa" w:w="312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bCs/>
                <w:color w:val="1B2A4A"/>
                <w:sz w:val="21"/>
                <w:szCs w:val="21"/>
              </w:rPr>
              <w:t xml:space="preserve">~$10.26 per Class A Share</w:t>
            </w:r>
          </w:p>
        </w:tc>
        <w:tc>
          <w:tcPr>
            <w:tcW w:type="dxa" w:w="312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bCs/>
                <w:color w:val="1B2A4A"/>
                <w:sz w:val="21"/>
                <w:szCs w:val="21"/>
              </w:rPr>
              <w:t xml:space="preserve">12 November 2026</w:t>
            </w:r>
          </w:p>
        </w:tc>
      </w:tr>
      <w:tr>
        <w:tc>
          <w:tcPr>
            <w:tcW w:type="dxa" w:w="312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Post-Close Ticker</w:t>
            </w:r>
          </w:p>
        </w:tc>
        <w:tc>
          <w:tcPr>
            <w:tcW w:type="dxa" w:w="312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Implied Equity Value</w:t>
            </w:r>
          </w:p>
        </w:tc>
        <w:tc>
          <w:tcPr>
            <w:tcW w:type="dxa" w:w="312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PIPE Size</w:t>
            </w:r>
          </w:p>
        </w:tc>
      </w:tr>
      <w:tr>
        <w:tc>
          <w:tcPr>
            <w:tcW w:type="dxa" w:w="312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bCs/>
                <w:color w:val="1B2A4A"/>
                <w:sz w:val="21"/>
                <w:szCs w:val="21"/>
              </w:rPr>
              <w:t xml:space="preserve">FAC (Factorial Holdings, Inc.)</w:t>
            </w:r>
          </w:p>
        </w:tc>
        <w:tc>
          <w:tcPr>
            <w:tcW w:type="dxa" w:w="312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bCs/>
                <w:color w:val="1B2A4A"/>
                <w:sz w:val="21"/>
                <w:szCs w:val="21"/>
              </w:rPr>
              <w:t xml:space="preserve">~$1.5B (no redemptions)</w:t>
            </w:r>
          </w:p>
        </w:tc>
        <w:tc>
          <w:tcPr>
            <w:tcW w:type="dxa" w:w="312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bCs/>
                <w:color w:val="1B2A4A"/>
                <w:sz w:val="21"/>
                <w:szCs w:val="21"/>
              </w:rPr>
              <w:t xml:space="preserve">$100M at $10.00/share</w:t>
            </w:r>
          </w:p>
        </w:tc>
      </w:tr>
    </w:tbl>
    <w:p>
      <w:pPr>
        <w:spacing w:after="80" w:before="160"/>
      </w:pPr>
    </w:p>
    <w:p>
      <w:pPr>
        <w:jc w:val="center"/>
      </w:pPr>
      <w:r>
        <w:rPr>
          <w:rFonts w:ascii="Arial" w:cs="Arial" w:eastAsia="Arial" w:hAnsi="Arial"/>
          <w:i/>
          <w:iCs/>
          <w:color w:val="888888"/>
          <w:sz w:val="18"/>
          <w:szCs w:val="18"/>
        </w:rPr>
        <w:t xml:space="preserve">Prepared: 17 April 2026  |  For analytical and discussion purposes only. Not investment advice.</w:t>
      </w:r>
    </w:p>
    <w:p>
      <w:pPr>
        <w:spacing w:after="0" w:before="320"/>
      </w:pPr>
    </w:p>
    <w:p>
      <w:r>
        <w:br w:type="page"/>
      </w:r>
    </w:p>
    <w:p>
      <w:pPr>
        <w:pStyle w:val="Heading1"/>
        <w:spacing w:after="160" w:before="320"/>
      </w:pPr>
      <w:r>
        <w:rPr>
          <w:rFonts w:ascii="Arial" w:cs="Arial" w:eastAsia="Arial" w:hAnsi="Arial"/>
          <w:b/>
          <w:bCs/>
          <w:color w:val="1B2A4A"/>
          <w:sz w:val="36"/>
          <w:szCs w:val="36"/>
        </w:rPr>
        <w:t xml:space="preserve">1. Executive Summary</w:t>
      </w:r>
    </w:p>
    <w:p>
      <w:pPr>
        <w:pBdr>
          <w:bottom w:val="single" w:color="2E4E7A" w:sz="6" w:space="1"/>
        </w:pBdr>
      </w:pPr>
    </w:p>
    <w:p>
      <w:pPr>
        <w:spacing w:after="40" w:before="80"/>
      </w:pPr>
    </w:p>
    <w:p>
      <w:pPr>
        <w:spacing w:after="60" w:before="60"/>
      </w:pPr>
      <w:r>
        <w:rPr>
          <w:rFonts w:ascii="Arial" w:cs="Arial" w:eastAsia="Arial" w:hAnsi="Arial"/>
          <w:b w:val="false"/>
          <w:bCs w:val="false"/>
          <w:i w:val="false"/>
          <w:iCs w:val="false"/>
          <w:color w:val="000000"/>
          <w:sz w:val="22"/>
          <w:szCs w:val="22"/>
        </w:rPr>
        <w:t xml:space="preserve">Factorial Energy is one of the most credibly validated private solid-state battery companies in the world. Unlike most battery start-ups that carry only slide-deck claims, Factorial has secured strategic investment from Mercedes-Benz, Stellantis, Hyundai and Kia, and has demonstrated real-world performance with automotive-grade cells. The company is expected to list on NASDAQ under the ticker FAC through a business combination with Cartesian Growth Corporation III (NASDAQ: CGCT) targeted to close mid-2026.</w:t>
      </w:r>
    </w:p>
    <w:p>
      <w:pPr>
        <w:spacing w:after="40" w:before="60"/>
      </w:pPr>
    </w:p>
    <w:p>
      <w:pPr>
        <w:spacing w:after="60" w:before="60"/>
      </w:pPr>
      <w:r>
        <w:rPr>
          <w:rFonts w:ascii="Arial" w:cs="Arial" w:eastAsia="Arial" w:hAnsi="Arial"/>
          <w:b w:val="false"/>
          <w:bCs w:val="false"/>
          <w:i w:val="false"/>
          <w:iCs w:val="false"/>
          <w:color w:val="000000"/>
          <w:sz w:val="22"/>
          <w:szCs w:val="22"/>
        </w:rPr>
        <w:t xml:space="preserve">The investment case rests on three pillars: (1) genuine OEM validation at automotive scale; (2) a pragmatic commercialisation strategy that bridges near-term revenue through the quasi-solid FEST platform before the longer-term all-solid-state Solstice platform matures; and (3) a broadening addressable market into drones, defence and robotics where energy density commands premium pricing independent of EV cost curves.</w:t>
      </w:r>
    </w:p>
    <w:p>
      <w:pPr>
        <w:spacing w:after="40" w:before="60"/>
      </w:pPr>
    </w:p>
    <w:p>
      <w:pPr>
        <w:spacing w:after="60" w:before="60"/>
      </w:pPr>
      <w:r>
        <w:rPr>
          <w:rFonts w:ascii="Arial" w:cs="Arial" w:eastAsia="Arial" w:hAnsi="Arial"/>
          <w:b w:val="false"/>
          <w:bCs w:val="false"/>
          <w:i w:val="false"/>
          <w:iCs w:val="false"/>
          <w:color w:val="000000"/>
          <w:sz w:val="22"/>
          <w:szCs w:val="22"/>
        </w:rPr>
        <w:t xml:space="preserve">The unique structural feature of entering via the SPAC pre-close is that downside from current price ($10.26) is approximately $0.26 per share if the deal fails and the trust redeems. Post-close, that floor disappears and FAC trades as an ordinary speculative equity. The S-4 filing confirms $113.6M of post-close cash under maximum redemptions, providing approximately 36 months of runway at 2025 burn rates. The 18-month condition is satisfied with 2x coverage.</w:t>
      </w:r>
    </w:p>
    <w:p>
      <w:pPr>
        <w:spacing w:after="40" w:before="80"/>
      </w:pPr>
    </w:p>
    <w:p>
      <w:pPr>
        <w:spacing w:after="80" w:before="180"/>
      </w:pPr>
      <w:r>
        <w:rPr>
          <w:rFonts w:ascii="Arial" w:cs="Arial" w:eastAsia="Arial" w:hAnsi="Arial"/>
          <w:b/>
          <w:bCs/>
          <w:color w:val="1B2A4A"/>
          <w:sz w:val="24"/>
          <w:szCs w:val="24"/>
        </w:rPr>
        <w:t xml:space="preserve">Key Metrics at a Glance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Metric</w:t>
            </w:r>
          </w:p>
        </w:tc>
        <w:tc>
          <w:tcPr>
            <w:tcW w:type="dxa" w:w="318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Value / Status</w:t>
            </w:r>
          </w:p>
        </w:tc>
        <w:tc>
          <w:tcPr>
            <w:tcW w:type="dxa" w:w="318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Source</w:t>
            </w:r>
          </w:p>
        </w:tc>
      </w:tr>
      <w:tr>
        <w:tc>
          <w:tcPr>
            <w:tcW w:type="dxa" w:w="30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Trust cash (CGCT)</w:t>
            </w:r>
          </w:p>
        </w:tc>
        <w:tc>
          <w:tcPr>
            <w:tcW w:type="dxa" w:w="31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$283.4M (audited Dec 31 2025)</w:t>
            </w:r>
          </w:p>
        </w:tc>
        <w:tc>
          <w:tcPr>
            <w:tcW w:type="dxa" w:w="31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CGCT Annual Report / S-4</w:t>
            </w:r>
          </w:p>
        </w:tc>
      </w:tr>
      <w:tr>
        <w:tc>
          <w:tcPr>
            <w:tcW w:type="dxa" w:w="300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PIPE committed</w:t>
            </w:r>
          </w:p>
        </w:tc>
        <w:tc>
          <w:tcPr>
            <w:tcW w:type="dxa" w:w="31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$100M at $10.00/share</w:t>
            </w:r>
          </w:p>
        </w:tc>
        <w:tc>
          <w:tcPr>
            <w:tcW w:type="dxa" w:w="31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Business Combination Agreement</w:t>
            </w:r>
          </w:p>
        </w:tc>
      </w:tr>
      <w:tr>
        <w:tc>
          <w:tcPr>
            <w:tcW w:type="dxa" w:w="30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Post-close cash (max redemptions)</w:t>
            </w:r>
          </w:p>
        </w:tc>
        <w:tc>
          <w:tcPr>
            <w:tcW w:type="dxa" w:w="31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$113.6M</w:t>
            </w:r>
          </w:p>
        </w:tc>
        <w:tc>
          <w:tcPr>
            <w:tcW w:type="dxa" w:w="31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S-4 sources and uses</w:t>
            </w:r>
          </w:p>
        </w:tc>
      </w:tr>
      <w:tr>
        <w:tc>
          <w:tcPr>
            <w:tcW w:type="dxa" w:w="300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Post-close cash (no redemptions)</w:t>
            </w:r>
          </w:p>
        </w:tc>
        <w:tc>
          <w:tcPr>
            <w:tcW w:type="dxa" w:w="31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$388.6M</w:t>
            </w:r>
          </w:p>
        </w:tc>
        <w:tc>
          <w:tcPr>
            <w:tcW w:type="dxa" w:w="31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S-4 sources and uses</w:t>
            </w:r>
          </w:p>
        </w:tc>
      </w:tr>
      <w:tr>
        <w:tc>
          <w:tcPr>
            <w:tcW w:type="dxa" w:w="30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2025 operating cash burn</w:t>
            </w:r>
          </w:p>
        </w:tc>
        <w:tc>
          <w:tcPr>
            <w:tcW w:type="dxa" w:w="31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$30.2M</w:t>
            </w:r>
          </w:p>
        </w:tc>
        <w:tc>
          <w:tcPr>
            <w:tcW w:type="dxa" w:w="31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Factorial audited financials</w:t>
            </w:r>
          </w:p>
        </w:tc>
      </w:tr>
      <w:tr>
        <w:tc>
          <w:tcPr>
            <w:tcW w:type="dxa" w:w="300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Runway (max redemptions scenario)</w:t>
            </w:r>
          </w:p>
        </w:tc>
        <w:tc>
          <w:tcPr>
            <w:tcW w:type="dxa" w:w="31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~36 months at 2025 burn rate</w:t>
            </w:r>
          </w:p>
        </w:tc>
        <w:tc>
          <w:tcPr>
            <w:tcW w:type="dxa" w:w="31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Derived from S-4 data</w:t>
            </w:r>
          </w:p>
        </w:tc>
      </w:tr>
      <w:tr>
        <w:tc>
          <w:tcPr>
            <w:tcW w:type="dxa" w:w="30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Strategic investors</w:t>
            </w:r>
          </w:p>
        </w:tc>
        <w:tc>
          <w:tcPr>
            <w:tcW w:type="dxa" w:w="31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Mercedes, Stellantis, Hyundai/Kia, POSCO Future M</w:t>
            </w:r>
          </w:p>
        </w:tc>
        <w:tc>
          <w:tcPr>
            <w:tcW w:type="dxa" w:w="31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Public disclosures</w:t>
            </w:r>
          </w:p>
        </w:tc>
      </w:tr>
      <w:tr>
        <w:tc>
          <w:tcPr>
            <w:tcW w:type="dxa" w:w="300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Pre-money valuation</w:t>
            </w:r>
          </w:p>
        </w:tc>
        <w:tc>
          <w:tcPr>
            <w:tcW w:type="dxa" w:w="31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~$1.1B</w:t>
            </w:r>
          </w:p>
        </w:tc>
        <w:tc>
          <w:tcPr>
            <w:tcW w:type="dxa" w:w="31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Business Combination Agreement</w:t>
            </w:r>
          </w:p>
        </w:tc>
      </w:tr>
      <w:tr>
        <w:tc>
          <w:tcPr>
            <w:tcW w:type="dxa" w:w="30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Patents and applications</w:t>
            </w:r>
          </w:p>
        </w:tc>
        <w:tc>
          <w:tcPr>
            <w:tcW w:type="dxa" w:w="31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150+</w:t>
            </w:r>
          </w:p>
        </w:tc>
        <w:tc>
          <w:tcPr>
            <w:tcW w:type="dxa" w:w="31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Company materials</w:t>
            </w:r>
          </w:p>
        </w:tc>
      </w:tr>
    </w:tbl>
    <w:p>
      <w:pPr>
        <w:spacing w:after="0" w:before="120"/>
      </w:pPr>
    </w:p>
    <w:p>
      <w:r>
        <w:br w:type="page"/>
      </w:r>
    </w:p>
    <w:p>
      <w:pPr>
        <w:pStyle w:val="Heading1"/>
        <w:spacing w:after="160" w:before="320"/>
      </w:pPr>
      <w:r>
        <w:rPr>
          <w:rFonts w:ascii="Arial" w:cs="Arial" w:eastAsia="Arial" w:hAnsi="Arial"/>
          <w:b/>
          <w:bCs/>
          <w:color w:val="1B2A4A"/>
          <w:sz w:val="36"/>
          <w:szCs w:val="36"/>
        </w:rPr>
        <w:t xml:space="preserve">2. Company Overview</w:t>
      </w:r>
    </w:p>
    <w:p>
      <w:pPr>
        <w:pBdr>
          <w:bottom w:val="single" w:color="2E4E7A" w:sz="6" w:space="1"/>
        </w:pBdr>
      </w:pPr>
    </w:p>
    <w:p>
      <w:pPr>
        <w:spacing w:after="40" w:before="80"/>
      </w:pPr>
    </w:p>
    <w:p>
      <w:pPr>
        <w:pStyle w:val="Heading2"/>
        <w:spacing w:after="120" w:before="240"/>
      </w:pPr>
      <w:r>
        <w:rPr>
          <w:rFonts w:ascii="Arial" w:cs="Arial" w:eastAsia="Arial" w:hAnsi="Arial"/>
          <w:b/>
          <w:bCs/>
          <w:color w:val="2E4E7A"/>
          <w:sz w:val="28"/>
          <w:szCs w:val="28"/>
        </w:rPr>
        <w:t xml:space="preserve">2.1  What Factorial Does</w:t>
      </w:r>
    </w:p>
    <w:p>
      <w:pPr>
        <w:spacing w:after="60" w:before="60"/>
      </w:pPr>
      <w:r>
        <w:rPr>
          <w:rFonts w:ascii="Arial" w:cs="Arial" w:eastAsia="Arial" w:hAnsi="Arial"/>
          <w:b w:val="false"/>
          <w:bCs w:val="false"/>
          <w:i w:val="false"/>
          <w:iCs w:val="false"/>
          <w:color w:val="000000"/>
          <w:sz w:val="22"/>
          <w:szCs w:val="22"/>
        </w:rPr>
        <w:t xml:space="preserve">Factorial Energy, founded in 2012 and headquartered in Billerica, Massachusetts, develops solid-state and quasi-solid-state lithium-metal batteries for electric vehicles, drones, defence systems and robotics. The company operates three distinct technology platforms: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5280"/>
      </w:tblGrid>
      <w:tr>
        <w:tc>
          <w:tcPr>
            <w:tcW w:type="dxa" w:w="1800"/>
            <w:tcBorders>
              <w:top w:val="single" w:color="B0C4D8" w:sz="1"/>
              <w:left w:val="single" w:color="B0C4D8" w:sz="1"/>
              <w:bottom w:val="single" w:color="B0C4D8" w:sz="1"/>
              <w:right w:val="single" w:color="B0C4D8" w:sz="1"/>
            </w:tcBorders>
            <w:shd w:fill="1B2A4A" w:val="clear"/>
            <w:tcMar>
              <w:top w:type="dxa" w:w="80"/>
              <w:left w:type="dxa" w:w="160"/>
              <w:bottom w:type="dxa" w:w="80"/>
              <w:right w:type="dxa" w:w="160"/>
            </w:tcMar>
            <w:vAlign w:val="center"/>
          </w:tcPr>
          <w:p>
            <w:r>
              <w:rPr>
                <w:rFonts w:ascii="Arial" w:cs="Arial" w:eastAsia="Arial" w:hAnsi="Arial"/>
                <w:b/>
                <w:bCs/>
                <w:color w:val="1B2A4A"/>
                <w:sz w:val="22"/>
                <w:szCs w:val="22"/>
              </w:rPr>
              <w:t xml:space="preserve">Platform</w:t>
            </w:r>
          </w:p>
        </w:tc>
        <w:tc>
          <w:tcPr>
            <w:tcW w:type="dxa" w:w="228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Category</w:t>
            </w:r>
          </w:p>
        </w:tc>
        <w:tc>
          <w:tcPr>
            <w:tcW w:type="dxa" w:w="528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Key Feature</w:t>
            </w:r>
          </w:p>
        </w:tc>
      </w:tr>
      <w:tr>
        <w:tc>
          <w:tcPr>
            <w:tcW w:type="dxa" w:w="18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bCs/>
                <w:color w:val="1B2A4A"/>
                <w:sz w:val="21"/>
                <w:szCs w:val="21"/>
              </w:rPr>
              <w:t xml:space="preserve">FEST®</w:t>
            </w:r>
          </w:p>
        </w:tc>
        <w:tc>
          <w:tcPr>
            <w:tcW w:type="dxa" w:w="22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Quasi-solid-state</w:t>
            </w:r>
          </w:p>
        </w:tc>
        <w:tc>
          <w:tcPr>
            <w:tcW w:type="dxa" w:w="52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80% drop-in compatible with existing Li-ion production lines. Near-term commercialisation path. Validated by Stellantis at 375 Wh/kg.</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bCs/>
                <w:color w:val="1B2A4A"/>
                <w:sz w:val="21"/>
                <w:szCs w:val="21"/>
              </w:rPr>
              <w:t xml:space="preserve">Solstice™</w:t>
            </w:r>
          </w:p>
        </w:tc>
        <w:tc>
          <w:tcPr>
            <w:tcW w:type="dxa" w:w="22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All-solid-state (sulfide)</w:t>
            </w:r>
          </w:p>
        </w:tc>
        <w:tc>
          <w:tcPr>
            <w:tcW w:type="dxa" w:w="52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Zero liquid electrolyte. Dry-coating process. Targets ~450 Wh/kg. Mercedes road-test validation. Longer-term, higher upside architecture.</w:t>
            </w:r>
          </w:p>
        </w:tc>
      </w:tr>
      <w:tr>
        <w:tc>
          <w:tcPr>
            <w:tcW w:type="dxa" w:w="18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bCs/>
                <w:color w:val="1B2A4A"/>
                <w:sz w:val="21"/>
                <w:szCs w:val="21"/>
              </w:rPr>
              <w:t xml:space="preserve">Gammatron™</w:t>
            </w:r>
          </w:p>
        </w:tc>
        <w:tc>
          <w:tcPr>
            <w:tcW w:type="dxa" w:w="22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AI / Digital Twin software</w:t>
            </w:r>
          </w:p>
        </w:tc>
        <w:tc>
          <w:tcPr>
            <w:tcW w:type="dxa" w:w="52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Battery development modelling, optimisation and simulation layer embedded across the FEST and Solstice development processes.</w:t>
            </w:r>
          </w:p>
        </w:tc>
      </w:tr>
    </w:tbl>
    <w:p>
      <w:pPr>
        <w:spacing w:after="40" w:before="120"/>
      </w:pPr>
    </w:p>
    <w:p>
      <w:pPr>
        <w:pStyle w:val="Heading2"/>
        <w:spacing w:after="120" w:before="240"/>
      </w:pPr>
      <w:r>
        <w:rPr>
          <w:rFonts w:ascii="Arial" w:cs="Arial" w:eastAsia="Arial" w:hAnsi="Arial"/>
          <w:b/>
          <w:bCs/>
          <w:color w:val="2E4E7A"/>
          <w:sz w:val="28"/>
          <w:szCs w:val="28"/>
        </w:rPr>
        <w:t xml:space="preserve">2.2  How It Is Going Public</w:t>
      </w:r>
    </w:p>
    <w:p>
      <w:pPr>
        <w:spacing w:after="60" w:before="60"/>
      </w:pPr>
      <w:r>
        <w:rPr>
          <w:rFonts w:ascii="Arial" w:cs="Arial" w:eastAsia="Arial" w:hAnsi="Arial"/>
          <w:b w:val="false"/>
          <w:bCs w:val="false"/>
          <w:i w:val="false"/>
          <w:iCs w:val="false"/>
          <w:color w:val="000000"/>
          <w:sz w:val="22"/>
          <w:szCs w:val="22"/>
        </w:rPr>
        <w:t xml:space="preserve">Factorial is not conducting a traditional IPO bookbuild. It agreed to list via a business combination with Cartesian Growth Corporation III (NASDAQ: CGCT), a blank-check SPAC that completed its IPO on 5 May 2025, raising $276M at $10.00 per unit. The business combination agreement was signed on 17 December 2025. The preliminary S-4 registration statement was filed with the SEC on 26 March 2026. Upon completion, CGCT will domesticate from the Cayman Islands to Delaware and be renamed Factorial Holdings, Inc., listing on NASDAQ as FAC.</w:t>
      </w:r>
    </w:p>
    <w:p>
      <w:pPr>
        <w:spacing w:after="40" w:before="60"/>
      </w:pPr>
    </w:p>
    <w:p>
      <w:pPr>
        <w:spacing w:after="60" w:before="60"/>
      </w:pPr>
      <w:r>
        <w:rPr>
          <w:rFonts w:ascii="Arial" w:cs="Arial" w:eastAsia="Arial" w:hAnsi="Arial"/>
          <w:b w:val="false"/>
          <w:bCs w:val="false"/>
          <w:i w:val="false"/>
          <w:iCs w:val="false"/>
          <w:color w:val="000000"/>
          <w:sz w:val="22"/>
          <w:szCs w:val="22"/>
        </w:rPr>
        <w:t xml:space="preserve">The deal values Factorial at approximately $1.1B pre-money on a pre-merger basis, with $100M of committed PIPE financing at approximately $10.08 per share on average. Pro forma equity value assuming no redemptions is approximately $1.5B. The deal deadline under the business combination agreement is 12 November 2026, after which either party may terminate.</w:t>
      </w:r>
    </w:p>
    <w:p>
      <w:pPr>
        <w:spacing w:after="0" w:before="120"/>
      </w:pPr>
    </w:p>
    <w:p>
      <w:r>
        <w:br w:type="page"/>
      </w:r>
    </w:p>
    <w:p>
      <w:pPr>
        <w:pStyle w:val="Heading1"/>
        <w:spacing w:after="160" w:before="320"/>
      </w:pPr>
      <w:r>
        <w:rPr>
          <w:rFonts w:ascii="Arial" w:cs="Arial" w:eastAsia="Arial" w:hAnsi="Arial"/>
          <w:b/>
          <w:bCs/>
          <w:color w:val="1B2A4A"/>
          <w:sz w:val="36"/>
          <w:szCs w:val="36"/>
        </w:rPr>
        <w:t xml:space="preserve">3. OEM Validation — The Core Differentiator</w:t>
      </w:r>
    </w:p>
    <w:p>
      <w:pPr>
        <w:pBdr>
          <w:bottom w:val="single" w:color="2E4E7A" w:sz="6" w:space="1"/>
        </w:pBdr>
      </w:pPr>
    </w:p>
    <w:p>
      <w:pPr>
        <w:spacing w:after="40" w:before="80"/>
      </w:pPr>
    </w:p>
    <w:p>
      <w:pPr>
        <w:spacing w:after="60" w:before="60"/>
      </w:pPr>
      <w:r>
        <w:rPr>
          <w:rFonts w:ascii="Arial" w:cs="Arial" w:eastAsia="Arial" w:hAnsi="Arial"/>
          <w:b w:val="false"/>
          <w:bCs w:val="false"/>
          <w:i w:val="false"/>
          <w:iCs w:val="false"/>
          <w:color w:val="000000"/>
          <w:sz w:val="22"/>
          <w:szCs w:val="22"/>
        </w:rPr>
        <w:t xml:space="preserve">The single most important factor separating Factorial from the majority of battery start-ups is externally validated performance data from Tier 1 automotive OEMs. The following milestones are public and material:</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6240"/>
      </w:tblGrid>
      <w:tr>
        <w:tc>
          <w:tcPr>
            <w:tcW w:type="dxa" w:w="144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Partner</w:t>
            </w:r>
          </w:p>
        </w:tc>
        <w:tc>
          <w:tcPr>
            <w:tcW w:type="dxa" w:w="168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Date</w:t>
            </w:r>
          </w:p>
        </w:tc>
        <w:tc>
          <w:tcPr>
            <w:tcW w:type="dxa" w:w="624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Milestone</w:t>
            </w:r>
          </w:p>
        </w:tc>
      </w:tr>
      <w:tr>
        <w:tc>
          <w:tcPr>
            <w:tcW w:type="dxa" w:w="144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bCs/>
                <w:color w:val="1B2A4A"/>
                <w:sz w:val="21"/>
                <w:szCs w:val="21"/>
              </w:rPr>
              <w:t xml:space="preserve">Stellantis</w:t>
            </w:r>
          </w:p>
        </w:tc>
        <w:tc>
          <w:tcPr>
            <w:tcW w:type="dxa" w:w="16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Apr 2025</w:t>
            </w:r>
          </w:p>
        </w:tc>
        <w:tc>
          <w:tcPr>
            <w:tcW w:type="dxa" w:w="624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Validated automotive-sized FEST cells at 375 Wh/kg. 15%→90% charge in 18 minutes at room temperature. Operation from −30°C to +45°C. 4C discharge capability. €75M strategic investment. Demo fleet targeted for 2026.</w:t>
            </w:r>
          </w:p>
        </w:tc>
      </w:tr>
      <w:tr>
        <w:tc>
          <w:tcPr>
            <w:tcW w:type="dxa" w:w="144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bCs/>
                <w:color w:val="1B2A4A"/>
                <w:sz w:val="21"/>
                <w:szCs w:val="21"/>
              </w:rPr>
              <w:t xml:space="preserve">Mercedes-Benz</w:t>
            </w:r>
          </w:p>
        </w:tc>
        <w:tc>
          <w:tcPr>
            <w:tcW w:type="dxa" w:w="16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2025–2026</w:t>
            </w:r>
          </w:p>
        </w:tc>
        <w:tc>
          <w:tcPr>
            <w:tcW w:type="dxa" w:w="624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Completed real-world 1,205 km Stuttgart→Malmö drive on a single charge in a lightly modified EQS using Factorial cells. Target: series production by end of the decade. Solstice platform targets ~450 Wh/kg and ~40% energy density improvement over current high-performance batteries.</w:t>
            </w:r>
          </w:p>
        </w:tc>
      </w:tr>
      <w:tr>
        <w:tc>
          <w:tcPr>
            <w:tcW w:type="dxa" w:w="144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bCs/>
                <w:color w:val="1B2A4A"/>
                <w:sz w:val="21"/>
                <w:szCs w:val="21"/>
              </w:rPr>
              <w:t xml:space="preserve">Hyundai / Kia</w:t>
            </w:r>
          </w:p>
        </w:tc>
        <w:tc>
          <w:tcPr>
            <w:tcW w:type="dxa" w:w="16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2023+</w:t>
            </w:r>
          </w:p>
        </w:tc>
        <w:tc>
          <w:tcPr>
            <w:tcW w:type="dxa" w:w="624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Strategic investment and joint development agreement. Ongoing active partnership in FEST development.</w:t>
            </w:r>
          </w:p>
        </w:tc>
      </w:tr>
      <w:tr>
        <w:tc>
          <w:tcPr>
            <w:tcW w:type="dxa" w:w="144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bCs/>
                <w:color w:val="1B2A4A"/>
                <w:sz w:val="21"/>
                <w:szCs w:val="21"/>
              </w:rPr>
              <w:t xml:space="preserve">POSCO Future M</w:t>
            </w:r>
          </w:p>
        </w:tc>
        <w:tc>
          <w:tcPr>
            <w:tcW w:type="dxa" w:w="16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2025–2026</w:t>
            </w:r>
          </w:p>
        </w:tc>
        <w:tc>
          <w:tcPr>
            <w:tcW w:type="dxa" w:w="624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Strategic investment. Supports pilot plant operations in Cheonan, Korea. Solid-state battery materials supply chain integration.</w:t>
            </w:r>
          </w:p>
        </w:tc>
      </w:tr>
      <w:tr>
        <w:tc>
          <w:tcPr>
            <w:tcW w:type="dxa" w:w="144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bCs/>
                <w:color w:val="1B2A4A"/>
                <w:sz w:val="21"/>
                <w:szCs w:val="21"/>
              </w:rPr>
              <w:t xml:space="preserve">Karma Automotive</w:t>
            </w:r>
          </w:p>
        </w:tc>
        <w:tc>
          <w:tcPr>
            <w:tcW w:type="dxa" w:w="16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Feb 2026</w:t>
            </w:r>
          </w:p>
        </w:tc>
        <w:tc>
          <w:tcPr>
            <w:tcW w:type="dxa" w:w="624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First announced US commercial solid-state battery programme for passenger vehicles. FEST cells intended for the Karma Kaveya, scheduled for late 2027.</w:t>
            </w:r>
          </w:p>
        </w:tc>
      </w:tr>
      <w:tr>
        <w:tc>
          <w:tcPr>
            <w:tcW w:type="dxa" w:w="144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bCs/>
                <w:color w:val="1B2A4A"/>
                <w:sz w:val="21"/>
                <w:szCs w:val="21"/>
              </w:rPr>
              <w:t xml:space="preserve">IQT (In-Q-Tel)</w:t>
            </w:r>
          </w:p>
        </w:tc>
        <w:tc>
          <w:tcPr>
            <w:tcW w:type="dxa" w:w="16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Mar 2026</w:t>
            </w:r>
          </w:p>
        </w:tc>
        <w:tc>
          <w:tcPr>
            <w:tcW w:type="dxa" w:w="624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Strategic investment tied to expansion into drones and robotics for national security applications. US defence intelligence investment arm.</w:t>
            </w:r>
          </w:p>
        </w:tc>
      </w:tr>
    </w:tbl>
    <w:p>
      <w:pPr>
        <w:spacing w:after="40" w:before="120"/>
      </w:pPr>
    </w:p>
    <w:p>
      <w:pPr>
        <w:spacing w:after="60" w:before="60"/>
      </w:pPr>
      <w:r>
        <w:rPr>
          <w:rFonts w:ascii="Arial" w:cs="Arial" w:eastAsia="Arial" w:hAnsi="Arial"/>
          <w:b w:val="false"/>
          <w:bCs w:val="false"/>
          <w:i/>
          <w:iCs/>
          <w:color w:val="000000"/>
          <w:sz w:val="22"/>
          <w:szCs w:val="22"/>
        </w:rPr>
        <w:t xml:space="preserve">The distinction between the Stellantis data and the Mercedes claims is important. The Stellantis figure of 375 Wh/kg is validated by a third-party OEM testing automotive-grade cells. The Mercedes figure of ~450 Wh/kg for Solstice is a target stated by Mercedes, not a confirmed cell measurement. Validated data always carries more weight than targeted data in this industry.</w:t>
      </w:r>
    </w:p>
    <w:p>
      <w:pPr>
        <w:spacing w:after="0" w:before="120"/>
      </w:pPr>
    </w:p>
    <w:p>
      <w:r>
        <w:br w:type="page"/>
      </w:r>
    </w:p>
    <w:p>
      <w:pPr>
        <w:pStyle w:val="Heading1"/>
        <w:spacing w:after="160" w:before="320"/>
      </w:pPr>
      <w:r>
        <w:rPr>
          <w:rFonts w:ascii="Arial" w:cs="Arial" w:eastAsia="Arial" w:hAnsi="Arial"/>
          <w:b/>
          <w:bCs/>
          <w:color w:val="1B2A4A"/>
          <w:sz w:val="36"/>
          <w:szCs w:val="36"/>
        </w:rPr>
        <w:t xml:space="preserve">4. Financial Analysis</w:t>
      </w:r>
    </w:p>
    <w:p>
      <w:pPr>
        <w:pBdr>
          <w:bottom w:val="single" w:color="2E4E7A" w:sz="6" w:space="1"/>
        </w:pBdr>
      </w:pPr>
    </w:p>
    <w:p>
      <w:pPr>
        <w:spacing w:after="40" w:before="80"/>
      </w:pPr>
    </w:p>
    <w:p>
      <w:pPr>
        <w:pStyle w:val="Heading2"/>
        <w:spacing w:after="120" w:before="240"/>
      </w:pPr>
      <w:r>
        <w:rPr>
          <w:rFonts w:ascii="Arial" w:cs="Arial" w:eastAsia="Arial" w:hAnsi="Arial"/>
          <w:b/>
          <w:bCs/>
          <w:color w:val="2E4E7A"/>
          <w:sz w:val="28"/>
          <w:szCs w:val="28"/>
        </w:rPr>
        <w:t xml:space="preserve">4.1  CGCT Trust Account — The Floor Mechanism</w:t>
      </w:r>
    </w:p>
    <w:p>
      <w:pPr>
        <w:spacing w:after="60" w:before="60"/>
      </w:pPr>
      <w:r>
        <w:rPr>
          <w:rFonts w:ascii="Arial" w:cs="Arial" w:eastAsia="Arial" w:hAnsi="Arial"/>
          <w:b w:val="false"/>
          <w:bCs w:val="false"/>
          <w:i w:val="false"/>
          <w:iCs w:val="false"/>
          <w:color w:val="000000"/>
          <w:sz w:val="22"/>
          <w:szCs w:val="22"/>
        </w:rPr>
        <w:t xml:space="preserve">The CGCT SPAC trust account holds $283.4M as of 31 December 2025 (audited by CBIZ CPAs P.C.), invested in US Treasury Bills. Per the trust agreement, all public shareholders have the right to redeem their shares at approximately $10.27 per share before the deal closes. This creates a near-absolute downside floor for pre-close purchases. If the business combination fails for any reason before 12 November 2026, CGCT redeems at trust value. At current price of $10.26, maximum downside is approximately $0.26 per share (2.5%).</w:t>
      </w:r>
    </w:p>
    <w:p>
      <w:pPr>
        <w:spacing w:after="40" w:before="60"/>
      </w:pPr>
    </w:p>
    <w:p>
      <w:pPr>
        <w:spacing w:after="60" w:before="60"/>
      </w:pPr>
      <w:r>
        <w:rPr>
          <w:rFonts w:ascii="Arial" w:cs="Arial" w:eastAsia="Arial" w:hAnsi="Arial"/>
          <w:b w:val="false"/>
          <w:bCs w:val="false"/>
          <w:i w:val="false"/>
          <w:iCs w:val="false"/>
          <w:color w:val="000000"/>
          <w:sz w:val="22"/>
          <w:szCs w:val="22"/>
        </w:rPr>
        <w:t xml:space="preserve">One additional positive discovered during S-4 review: Cantor Fitzgerald agreed to a Fee Modification Agreement on 17 December 2025, reducing the deferred underwriting commission from $13.14M to a flat $3.75M plus performance-based amounts capped at $13M. In moderate-redemption scenarios, this preserves $7-9M of additional post-close cash for Factorial versus the original deal structure.</w:t>
      </w:r>
    </w:p>
    <w:p>
      <w:pPr>
        <w:spacing w:after="40" w:before="120"/>
      </w:pPr>
    </w:p>
    <w:p>
      <w:pPr>
        <w:pStyle w:val="Heading2"/>
        <w:spacing w:after="120" w:before="240"/>
      </w:pPr>
      <w:r>
        <w:rPr>
          <w:rFonts w:ascii="Arial" w:cs="Arial" w:eastAsia="Arial" w:hAnsi="Arial"/>
          <w:b/>
          <w:bCs/>
          <w:color w:val="2E4E7A"/>
          <w:sz w:val="28"/>
          <w:szCs w:val="28"/>
        </w:rPr>
        <w:t xml:space="preserve">4.2  Factorial Standalone Financials (Audited, RSM US LLP)</w:t>
      </w:r>
    </w:p>
    <w:p>
      <w:pPr>
        <w:spacing w:after="60" w:before="60"/>
      </w:pPr>
      <w:r>
        <w:rPr>
          <w:rFonts w:ascii="Arial" w:cs="Arial" w:eastAsia="Arial" w:hAnsi="Arial"/>
          <w:b w:val="false"/>
          <w:bCs w:val="false"/>
          <w:i w:val="false"/>
          <w:iCs w:val="false"/>
          <w:color w:val="000000"/>
          <w:sz w:val="22"/>
          <w:szCs w:val="22"/>
        </w:rPr>
        <w:t xml:space="preserve">The following data is taken from Factorial’s audited financial statements included in the S-4. RSM issued an unqualified audit opinion with a going concern explanatory paragraph — standard for a pre-revenue battery development company dependent on financing.</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
            </w:r>
          </w:p>
        </w:tc>
        <w:tc>
          <w:tcPr>
            <w:tcW w:type="dxa" w:w="288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FY2025</w:t>
            </w:r>
          </w:p>
        </w:tc>
        <w:tc>
          <w:tcPr>
            <w:tcW w:type="dxa" w:w="288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FY2024</w:t>
            </w:r>
          </w:p>
        </w:tc>
      </w:tr>
      <w:tr>
        <w:tc>
          <w:tcPr>
            <w:tcW w:type="dxa" w:w="36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R&amp;D expense (net)</w:t>
            </w:r>
          </w:p>
        </w:tc>
        <w:tc>
          <w:tcPr>
            <w:tcW w:type="dxa" w:w="28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$24.3M</w:t>
            </w:r>
          </w:p>
        </w:tc>
        <w:tc>
          <w:tcPr>
            <w:tcW w:type="dxa" w:w="28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$31.8M</w:t>
            </w:r>
          </w:p>
        </w:tc>
      </w:tr>
      <w:tr>
        <w:tc>
          <w:tcPr>
            <w:tcW w:type="dxa" w:w="360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SG&amp;A expense</w:t>
            </w:r>
          </w:p>
        </w:tc>
        <w:tc>
          <w:tcPr>
            <w:tcW w:type="dxa" w:w="28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$22.2M</w:t>
            </w:r>
          </w:p>
        </w:tc>
        <w:tc>
          <w:tcPr>
            <w:tcW w:type="dxa" w:w="28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$24.7M</w:t>
            </w:r>
          </w:p>
        </w:tc>
      </w:tr>
      <w:tr>
        <w:tc>
          <w:tcPr>
            <w:tcW w:type="dxa" w:w="36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Loss on impairment &amp; lease termination</w:t>
            </w:r>
          </w:p>
        </w:tc>
        <w:tc>
          <w:tcPr>
            <w:tcW w:type="dxa" w:w="28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$17.1M (one-off)</w:t>
            </w:r>
          </w:p>
        </w:tc>
        <w:tc>
          <w:tcPr>
            <w:tcW w:type="dxa" w:w="28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w:t>
            </w:r>
          </w:p>
        </w:tc>
      </w:tr>
      <w:tr>
        <w:tc>
          <w:tcPr>
            <w:tcW w:type="dxa" w:w="360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Loss from operations</w:t>
            </w:r>
          </w:p>
        </w:tc>
        <w:tc>
          <w:tcPr>
            <w:tcW w:type="dxa" w:w="28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8B1A1A"/>
                <w:sz w:val="21"/>
                <w:szCs w:val="21"/>
              </w:rPr>
              <w:t xml:space="preserve">$(63.6M)</w:t>
            </w:r>
          </w:p>
        </w:tc>
        <w:tc>
          <w:tcPr>
            <w:tcW w:type="dxa" w:w="28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8B1A1A"/>
                <w:sz w:val="21"/>
                <w:szCs w:val="21"/>
              </w:rPr>
              <w:t xml:space="preserve">$(56.5M)</w:t>
            </w:r>
          </w:p>
        </w:tc>
      </w:tr>
      <w:tr>
        <w:tc>
          <w:tcPr>
            <w:tcW w:type="dxa" w:w="36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Recurring opex (R&amp;D + SG&amp;A)</w:t>
            </w:r>
          </w:p>
        </w:tc>
        <w:tc>
          <w:tcPr>
            <w:tcW w:type="dxa" w:w="28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bCs/>
                <w:color w:val="000000"/>
                <w:sz w:val="21"/>
                <w:szCs w:val="21"/>
              </w:rPr>
              <w:t xml:space="preserve">$46.5M ($11.6M/qtr)</w:t>
            </w:r>
          </w:p>
        </w:tc>
        <w:tc>
          <w:tcPr>
            <w:tcW w:type="dxa" w:w="28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bCs/>
                <w:color w:val="000000"/>
                <w:sz w:val="21"/>
                <w:szCs w:val="21"/>
              </w:rPr>
              <w:t xml:space="preserve">$56.5M ($14.1M/qtr)</w:t>
            </w:r>
          </w:p>
        </w:tc>
      </w:tr>
      <w:tr>
        <w:tc>
          <w:tcPr>
            <w:tcW w:type="dxa" w:w="360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Net cash used in operations</w:t>
            </w:r>
          </w:p>
        </w:tc>
        <w:tc>
          <w:tcPr>
            <w:tcW w:type="dxa" w:w="28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8B1A1A"/>
                <w:sz w:val="21"/>
                <w:szCs w:val="21"/>
              </w:rPr>
              <w:t xml:space="preserve">$(30.2M)</w:t>
            </w:r>
          </w:p>
        </w:tc>
        <w:tc>
          <w:tcPr>
            <w:tcW w:type="dxa" w:w="28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8B1A1A"/>
                <w:sz w:val="21"/>
                <w:szCs w:val="21"/>
              </w:rPr>
              <w:t xml:space="preserve">$(37.2M)</w:t>
            </w:r>
          </w:p>
        </w:tc>
      </w:tr>
      <w:tr>
        <w:tc>
          <w:tcPr>
            <w:tcW w:type="dxa" w:w="36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Cash &amp; equivalents (year-end)</w:t>
            </w:r>
          </w:p>
        </w:tc>
        <w:tc>
          <w:tcPr>
            <w:tcW w:type="dxa" w:w="28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$28.9M</w:t>
            </w:r>
          </w:p>
        </w:tc>
        <w:tc>
          <w:tcPr>
            <w:tcW w:type="dxa" w:w="28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$48.3M</w:t>
            </w:r>
          </w:p>
        </w:tc>
      </w:tr>
      <w:tr>
        <w:tc>
          <w:tcPr>
            <w:tcW w:type="dxa" w:w="360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Accumulated deficit</w:t>
            </w:r>
          </w:p>
        </w:tc>
        <w:tc>
          <w:tcPr>
            <w:tcW w:type="dxa" w:w="28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8B1A1A"/>
                <w:sz w:val="21"/>
                <w:szCs w:val="21"/>
              </w:rPr>
              <w:t xml:space="preserve">$(255.6M)</w:t>
            </w:r>
          </w:p>
        </w:tc>
        <w:tc>
          <w:tcPr>
            <w:tcW w:type="dxa" w:w="28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N/A</w:t>
            </w:r>
          </w:p>
        </w:tc>
      </w:tr>
    </w:tbl>
    <w:p>
      <w:pPr>
        <w:spacing w:after="40" w:before="80"/>
      </w:pPr>
    </w:p>
    <w:p>
      <w:pPr>
        <w:spacing w:after="60" w:before="60"/>
      </w:pPr>
      <w:r>
        <w:rPr>
          <w:rFonts w:ascii="Arial" w:cs="Arial" w:eastAsia="Arial" w:hAnsi="Arial"/>
          <w:b w:val="false"/>
          <w:bCs w:val="false"/>
          <w:i w:val="false"/>
          <w:iCs w:val="false"/>
          <w:color w:val="000000"/>
          <w:sz w:val="22"/>
          <w:szCs w:val="22"/>
        </w:rPr>
        <w:t xml:space="preserve">Key observations: (1) recurring operating cash burn declined year-on-year from $37.2M to $30.2M, indicating improving capital efficiency; (2) the $17.1M impairment/lease termination charge relates to the Methuen factory exit and is non-recurring; (3) at $28.9M year-end cash on a standalone basis, Factorial had approximately 3-4 quarters of runway without the deal — confirming the going concern disclosure and the critical dependency on the business combination closing.</w:t>
      </w:r>
    </w:p>
    <w:p>
      <w:pPr>
        <w:spacing w:after="40" w:before="120"/>
      </w:pPr>
    </w:p>
    <w:p>
      <w:pPr>
        <w:pStyle w:val="Heading2"/>
        <w:spacing w:after="120" w:before="240"/>
      </w:pPr>
      <w:r>
        <w:rPr>
          <w:rFonts w:ascii="Arial" w:cs="Arial" w:eastAsia="Arial" w:hAnsi="Arial"/>
          <w:b/>
          <w:bCs/>
          <w:color w:val="2E4E7A"/>
          <w:sz w:val="28"/>
          <w:szCs w:val="28"/>
        </w:rPr>
        <w:t xml:space="preserve">4.3  Post-Close Liquidity Analysis</w:t>
      </w:r>
    </w:p>
    <w:p>
      <w:pPr>
        <w:spacing w:after="60" w:before="60"/>
      </w:pPr>
      <w:r>
        <w:rPr>
          <w:rFonts w:ascii="Arial" w:cs="Arial" w:eastAsia="Arial" w:hAnsi="Arial"/>
          <w:b w:val="false"/>
          <w:bCs w:val="false"/>
          <w:i w:val="false"/>
          <w:iCs w:val="false"/>
          <w:color w:val="000000"/>
          <w:sz w:val="22"/>
          <w:szCs w:val="22"/>
        </w:rPr>
        <w:t xml:space="preserve">The S-4 provides sources-and-uses tables across four redemption scenarios. The following table shows cash available to Factorial’s balance sheet and implied runway at 2025 burn rates post-close: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1800"/>
        <w:gridCol w:w="1800"/>
        <w:gridCol w:w="1440"/>
      </w:tblGrid>
      <w:tr>
        <w:tc>
          <w:tcPr>
            <w:tcW w:type="dxa" w:w="252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Scenario</w:t>
            </w:r>
          </w:p>
        </w:tc>
        <w:tc>
          <w:tcPr>
            <w:tcW w:type="dxa" w:w="180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Cash to Balance Sheet</w:t>
            </w:r>
          </w:p>
        </w:tc>
        <w:tc>
          <w:tcPr>
            <w:tcW w:type="dxa" w:w="180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Operating Runway (2025 burn)</w:t>
            </w:r>
          </w:p>
        </w:tc>
        <w:tc>
          <w:tcPr>
            <w:tcW w:type="dxa" w:w="180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Total Runway incl. capex</w:t>
            </w:r>
          </w:p>
        </w:tc>
        <w:tc>
          <w:tcPr>
            <w:tcW w:type="dxa" w:w="144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Coverage vs 18M need</w:t>
            </w:r>
          </w:p>
        </w:tc>
      </w:tr>
      <w:tr>
        <w:tc>
          <w:tcPr>
            <w:tcW w:type="dxa" w:w="252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No redemptions</w:t>
            </w:r>
          </w:p>
        </w:tc>
        <w:tc>
          <w:tcPr>
            <w:tcW w:type="dxa" w:w="18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bCs/>
                <w:color w:val="1A6B3A"/>
                <w:sz w:val="21"/>
                <w:szCs w:val="21"/>
              </w:rPr>
              <w:t xml:space="preserve">$388.6M</w:t>
            </w:r>
          </w:p>
        </w:tc>
        <w:tc>
          <w:tcPr>
            <w:tcW w:type="dxa" w:w="18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~154 months</w:t>
            </w:r>
          </w:p>
        </w:tc>
        <w:tc>
          <w:tcPr>
            <w:tcW w:type="dxa" w:w="18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~100 months</w:t>
            </w:r>
          </w:p>
        </w:tc>
        <w:tc>
          <w:tcPr>
            <w:tcW w:type="dxa" w:w="144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bCs/>
                <w:color w:val="1A6B3A"/>
                <w:sz w:val="21"/>
                <w:szCs w:val="21"/>
              </w:rPr>
              <w:t xml:space="preserve">5.5x</w:t>
            </w:r>
          </w:p>
        </w:tc>
      </w:tr>
      <w:tr>
        <w:tc>
          <w:tcPr>
            <w:tcW w:type="dxa" w:w="252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25% redemptions</w:t>
            </w:r>
          </w:p>
        </w:tc>
        <w:tc>
          <w:tcPr>
            <w:tcW w:type="dxa" w:w="180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bCs/>
                <w:color w:val="1A6B3A"/>
                <w:sz w:val="21"/>
                <w:szCs w:val="21"/>
              </w:rPr>
              <w:t xml:space="preserve">$319.4M</w:t>
            </w:r>
          </w:p>
        </w:tc>
        <w:tc>
          <w:tcPr>
            <w:tcW w:type="dxa" w:w="180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~127 months</w:t>
            </w:r>
          </w:p>
        </w:tc>
        <w:tc>
          <w:tcPr>
            <w:tcW w:type="dxa" w:w="180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~82 months</w:t>
            </w:r>
          </w:p>
        </w:tc>
        <w:tc>
          <w:tcPr>
            <w:tcW w:type="dxa" w:w="144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bCs/>
                <w:color w:val="1A6B3A"/>
                <w:sz w:val="21"/>
                <w:szCs w:val="21"/>
              </w:rPr>
              <w:t xml:space="preserve">4.5x</w:t>
            </w:r>
          </w:p>
        </w:tc>
      </w:tr>
      <w:tr>
        <w:tc>
          <w:tcPr>
            <w:tcW w:type="dxa" w:w="252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50% redemptions</w:t>
            </w:r>
          </w:p>
        </w:tc>
        <w:tc>
          <w:tcPr>
            <w:tcW w:type="dxa" w:w="18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bCs/>
                <w:color w:val="1A6B3A"/>
                <w:sz w:val="21"/>
                <w:szCs w:val="21"/>
              </w:rPr>
              <w:t xml:space="preserve">$250.4M</w:t>
            </w:r>
          </w:p>
        </w:tc>
        <w:tc>
          <w:tcPr>
            <w:tcW w:type="dxa" w:w="18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~100 months</w:t>
            </w:r>
          </w:p>
        </w:tc>
        <w:tc>
          <w:tcPr>
            <w:tcW w:type="dxa" w:w="18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~65 months</w:t>
            </w:r>
          </w:p>
        </w:tc>
        <w:tc>
          <w:tcPr>
            <w:tcW w:type="dxa" w:w="144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bCs/>
                <w:color w:val="1A6B3A"/>
                <w:sz w:val="21"/>
                <w:szCs w:val="21"/>
              </w:rPr>
              <w:t xml:space="preserve">3.6x</w:t>
            </w:r>
          </w:p>
        </w:tc>
      </w:tr>
      <w:tr>
        <w:tc>
          <w:tcPr>
            <w:tcW w:type="dxa" w:w="252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75% redemptions</w:t>
            </w:r>
          </w:p>
        </w:tc>
        <w:tc>
          <w:tcPr>
            <w:tcW w:type="dxa" w:w="180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bCs/>
                <w:color w:val="1A6B3A"/>
                <w:sz w:val="21"/>
                <w:szCs w:val="21"/>
              </w:rPr>
              <w:t xml:space="preserve">$181.6M</w:t>
            </w:r>
          </w:p>
        </w:tc>
        <w:tc>
          <w:tcPr>
            <w:tcW w:type="dxa" w:w="180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~72 months</w:t>
            </w:r>
          </w:p>
        </w:tc>
        <w:tc>
          <w:tcPr>
            <w:tcW w:type="dxa" w:w="180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~47 months</w:t>
            </w:r>
          </w:p>
        </w:tc>
        <w:tc>
          <w:tcPr>
            <w:tcW w:type="dxa" w:w="144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bCs/>
                <w:color w:val="1A6B3A"/>
                <w:sz w:val="21"/>
                <w:szCs w:val="21"/>
              </w:rPr>
              <w:t xml:space="preserve">2.6x</w:t>
            </w:r>
          </w:p>
        </w:tc>
      </w:tr>
      <w:tr>
        <w:tc>
          <w:tcPr>
            <w:tcW w:type="dxa" w:w="252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Maximum redemptions (stress)</w:t>
            </w:r>
          </w:p>
        </w:tc>
        <w:tc>
          <w:tcPr>
            <w:tcW w:type="dxa" w:w="18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bCs/>
                <w:color w:val="1A6B3A"/>
                <w:sz w:val="21"/>
                <w:szCs w:val="21"/>
              </w:rPr>
              <w:t xml:space="preserve">$113.6M</w:t>
            </w:r>
          </w:p>
        </w:tc>
        <w:tc>
          <w:tcPr>
            <w:tcW w:type="dxa" w:w="18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~45 months</w:t>
            </w:r>
          </w:p>
        </w:tc>
        <w:tc>
          <w:tcPr>
            <w:tcW w:type="dxa" w:w="18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bCs/>
                <w:color w:val="000000"/>
                <w:sz w:val="21"/>
                <w:szCs w:val="21"/>
              </w:rPr>
              <w:t xml:space="preserve">~29 months</w:t>
            </w:r>
          </w:p>
        </w:tc>
        <w:tc>
          <w:tcPr>
            <w:tcW w:type="dxa" w:w="144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bCs/>
                <w:color w:val="1A6B3A"/>
                <w:sz w:val="21"/>
                <w:szCs w:val="21"/>
              </w:rPr>
              <w:t xml:space="preserve">2.0x</w:t>
            </w:r>
          </w:p>
        </w:tc>
      </w:tr>
    </w:tbl>
    <w:p>
      <w:pPr>
        <w:spacing w:after="40" w:before="80"/>
      </w:pPr>
    </w:p>
    <w:p>
      <w:pPr>
        <w:spacing w:after="60" w:before="60"/>
      </w:pPr>
      <w:r>
        <w:rPr>
          <w:rFonts w:ascii="Arial" w:cs="Arial" w:eastAsia="Arial" w:hAnsi="Arial"/>
          <w:b w:val="false"/>
          <w:bCs w:val="false"/>
          <w:i/>
          <w:iCs/>
          <w:color w:val="000000"/>
          <w:sz w:val="22"/>
          <w:szCs w:val="22"/>
        </w:rPr>
        <w:t xml:space="preserve">Notes: Operating runway = post-close cash divided by $30.2M annual 2025 operating burn. Total runway subtracts $8M guided 2026 capex on an annualised basis. 18-month need derived as $45.3M operating + $12M capex = $57.3M. Factorial’s own disclosure states sufficient cash for at least 12 months across all redemption scenarios; 18 months is covered with 2x margin in the maximum redemption stress case.</w:t>
      </w:r>
    </w:p>
    <w:p>
      <w:pPr>
        <w:spacing w:after="0" w:before="120"/>
      </w:pPr>
    </w:p>
    <w:p>
      <w:r>
        <w:br w:type="page"/>
      </w:r>
    </w:p>
    <w:p>
      <w:pPr>
        <w:pStyle w:val="Heading1"/>
        <w:spacing w:after="160" w:before="320"/>
      </w:pPr>
      <w:r>
        <w:rPr>
          <w:rFonts w:ascii="Arial" w:cs="Arial" w:eastAsia="Arial" w:hAnsi="Arial"/>
          <w:b/>
          <w:bCs/>
          <w:color w:val="1B2A4A"/>
          <w:sz w:val="36"/>
          <w:szCs w:val="36"/>
        </w:rPr>
        <w:t xml:space="preserve">5. Valuation Framework</w:t>
      </w:r>
    </w:p>
    <w:p>
      <w:pPr>
        <w:pBdr>
          <w:bottom w:val="single" w:color="2E4E7A" w:sz="6" w:space="1"/>
        </w:pBdr>
      </w:pPr>
    </w:p>
    <w:p>
      <w:pPr>
        <w:spacing w:after="40" w:before="80"/>
      </w:pPr>
    </w:p>
    <w:p>
      <w:pPr>
        <w:spacing w:after="60" w:before="60"/>
      </w:pPr>
      <w:r>
        <w:rPr>
          <w:rFonts w:ascii="Arial" w:cs="Arial" w:eastAsia="Arial" w:hAnsi="Arial"/>
          <w:b w:val="false"/>
          <w:bCs w:val="false"/>
          <w:i w:val="false"/>
          <w:iCs w:val="false"/>
          <w:color w:val="000000"/>
          <w:sz w:val="22"/>
          <w:szCs w:val="22"/>
        </w:rPr>
        <w:t xml:space="preserve">There is no established sell-side analyst coverage for FAC at this stage. The appropriate framework is scenario-based rather than DCF or comparable company analysis, given the pre-revenue development stage. Reference points are the PIPE subscription price, current listed peers, and the business combination’s pro forma equity value.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1800"/>
        <w:gridCol w:w="1800"/>
        <w:gridCol w:w="1440"/>
      </w:tblGrid>
      <w:tr>
        <w:tc>
          <w:tcPr>
            <w:tcW w:type="dxa" w:w="216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Scenario</w:t>
            </w:r>
          </w:p>
        </w:tc>
        <w:tc>
          <w:tcPr>
            <w:tcW w:type="dxa" w:w="216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Catalyst Required</w:t>
            </w:r>
          </w:p>
        </w:tc>
        <w:tc>
          <w:tcPr>
            <w:tcW w:type="dxa" w:w="180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Implied Equity Value</w:t>
            </w:r>
          </w:p>
        </w:tc>
        <w:tc>
          <w:tcPr>
            <w:tcW w:type="dxa" w:w="180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$/Share (approx.)</w:t>
            </w:r>
          </w:p>
        </w:tc>
        <w:tc>
          <w:tcPr>
            <w:tcW w:type="dxa" w:w="144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Return from $10.26</w:t>
            </w:r>
          </w:p>
        </w:tc>
      </w:tr>
      <w:tr>
        <w:tc>
          <w:tcPr>
            <w:tcW w:type="dxa" w:w="216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8B1A1A"/>
                <w:sz w:val="21"/>
                <w:szCs w:val="21"/>
              </w:rPr>
              <w:t xml:space="preserve">Bear — Broken commercialisation</w:t>
            </w:r>
          </w:p>
        </w:tc>
        <w:tc>
          <w:tcPr>
            <w:tcW w:type="dxa" w:w="216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OEM disengagement, IP challenge, funding failure</w:t>
            </w:r>
          </w:p>
        </w:tc>
        <w:tc>
          <w:tcPr>
            <w:tcW w:type="dxa" w:w="18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~$750M</w:t>
            </w:r>
          </w:p>
        </w:tc>
        <w:tc>
          <w:tcPr>
            <w:tcW w:type="dxa" w:w="18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8B1A1A"/>
                <w:sz w:val="21"/>
                <w:szCs w:val="21"/>
              </w:rPr>
              <w:t xml:space="preserve">~$5.00</w:t>
            </w:r>
          </w:p>
        </w:tc>
        <w:tc>
          <w:tcPr>
            <w:tcW w:type="dxa" w:w="144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8B1A1A"/>
                <w:sz w:val="21"/>
                <w:szCs w:val="21"/>
              </w:rPr>
              <w:t xml:space="preserve">−51%</w:t>
            </w:r>
          </w:p>
        </w:tc>
      </w:tr>
      <w:tr>
        <w:tc>
          <w:tcPr>
            <w:tcW w:type="dxa" w:w="216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Base — Deal closes, no re-rating</w:t>
            </w:r>
          </w:p>
        </w:tc>
        <w:tc>
          <w:tcPr>
            <w:tcW w:type="dxa" w:w="216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Business combination closes; no major new contracts</w:t>
            </w:r>
          </w:p>
        </w:tc>
        <w:tc>
          <w:tcPr>
            <w:tcW w:type="dxa" w:w="180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~$1.5B</w:t>
            </w:r>
          </w:p>
        </w:tc>
        <w:tc>
          <w:tcPr>
            <w:tcW w:type="dxa" w:w="180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~$10.00</w:t>
            </w:r>
          </w:p>
        </w:tc>
        <w:tc>
          <w:tcPr>
            <w:tcW w:type="dxa" w:w="144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−2.5%</w:t>
            </w:r>
          </w:p>
        </w:tc>
      </w:tr>
      <w:tr>
        <w:tc>
          <w:tcPr>
            <w:tcW w:type="dxa" w:w="216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1A6B3A"/>
                <w:sz w:val="21"/>
                <w:szCs w:val="21"/>
              </w:rPr>
              <w:t xml:space="preserve">Mild upside — Credible execution</w:t>
            </w:r>
          </w:p>
        </w:tc>
        <w:tc>
          <w:tcPr>
            <w:tcW w:type="dxa" w:w="216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Stellantis demo fleet success; Solstice progress update</w:t>
            </w:r>
          </w:p>
        </w:tc>
        <w:tc>
          <w:tcPr>
            <w:tcW w:type="dxa" w:w="18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1A6B3A"/>
                <w:sz w:val="21"/>
                <w:szCs w:val="21"/>
              </w:rPr>
              <w:t xml:space="preserve">~$2.0B</w:t>
            </w:r>
          </w:p>
        </w:tc>
        <w:tc>
          <w:tcPr>
            <w:tcW w:type="dxa" w:w="18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1A6B3A"/>
                <w:sz w:val="21"/>
                <w:szCs w:val="21"/>
              </w:rPr>
              <w:t xml:space="preserve">~$13.30</w:t>
            </w:r>
          </w:p>
        </w:tc>
        <w:tc>
          <w:tcPr>
            <w:tcW w:type="dxa" w:w="144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1A6B3A"/>
                <w:sz w:val="21"/>
                <w:szCs w:val="21"/>
              </w:rPr>
              <w:t xml:space="preserve">+30%</w:t>
            </w:r>
          </w:p>
        </w:tc>
      </w:tr>
      <w:tr>
        <w:tc>
          <w:tcPr>
            <w:tcW w:type="dxa" w:w="216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1A6B3A"/>
                <w:sz w:val="21"/>
                <w:szCs w:val="21"/>
              </w:rPr>
              <w:t xml:space="preserve">Strong upside — Production award</w:t>
            </w:r>
          </w:p>
        </w:tc>
        <w:tc>
          <w:tcPr>
            <w:tcW w:type="dxa" w:w="216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Major OEM production supply contract announced</w:t>
            </w:r>
          </w:p>
        </w:tc>
        <w:tc>
          <w:tcPr>
            <w:tcW w:type="dxa" w:w="180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1A6B3A"/>
                <w:sz w:val="21"/>
                <w:szCs w:val="21"/>
              </w:rPr>
              <w:t xml:space="preserve">~$3.0B</w:t>
            </w:r>
          </w:p>
        </w:tc>
        <w:tc>
          <w:tcPr>
            <w:tcW w:type="dxa" w:w="180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1A6B3A"/>
                <w:sz w:val="21"/>
                <w:szCs w:val="21"/>
              </w:rPr>
              <w:t xml:space="preserve">~$20.00</w:t>
            </w:r>
          </w:p>
        </w:tc>
        <w:tc>
          <w:tcPr>
            <w:tcW w:type="dxa" w:w="144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1A6B3A"/>
                <w:sz w:val="21"/>
                <w:szCs w:val="21"/>
              </w:rPr>
              <w:t xml:space="preserve">+95%</w:t>
            </w:r>
          </w:p>
        </w:tc>
      </w:tr>
      <w:tr>
        <w:tc>
          <w:tcPr>
            <w:tcW w:type="dxa" w:w="216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1A6B3A"/>
                <w:sz w:val="21"/>
                <w:szCs w:val="21"/>
              </w:rPr>
              <w:t xml:space="preserve">Speculative premium — Sector euphoria</w:t>
            </w:r>
          </w:p>
        </w:tc>
        <w:tc>
          <w:tcPr>
            <w:tcW w:type="dxa" w:w="216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Sector re-rating; multiple OEM wins; drone/defence scale</w:t>
            </w:r>
          </w:p>
        </w:tc>
        <w:tc>
          <w:tcPr>
            <w:tcW w:type="dxa" w:w="18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1A6B3A"/>
                <w:sz w:val="21"/>
                <w:szCs w:val="21"/>
              </w:rPr>
              <w:t xml:space="preserve">~$4.0B</w:t>
            </w:r>
          </w:p>
        </w:tc>
        <w:tc>
          <w:tcPr>
            <w:tcW w:type="dxa" w:w="180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1A6B3A"/>
                <w:sz w:val="21"/>
                <w:szCs w:val="21"/>
              </w:rPr>
              <w:t xml:space="preserve">~$26.70</w:t>
            </w:r>
          </w:p>
        </w:tc>
        <w:tc>
          <w:tcPr>
            <w:tcW w:type="dxa" w:w="144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1A6B3A"/>
                <w:sz w:val="21"/>
                <w:szCs w:val="21"/>
              </w:rPr>
              <w:t xml:space="preserve">+160%</w:t>
            </w:r>
          </w:p>
        </w:tc>
      </w:tr>
    </w:tbl>
    <w:p>
      <w:pPr>
        <w:spacing w:after="40" w:before="80"/>
      </w:pPr>
    </w:p>
    <w:p>
      <w:pPr>
        <w:spacing w:after="60" w:before="60"/>
      </w:pPr>
      <w:r>
        <w:rPr>
          <w:rFonts w:ascii="Arial" w:cs="Arial" w:eastAsia="Arial" w:hAnsi="Arial"/>
          <w:b w:val="false"/>
          <w:bCs w:val="false"/>
          <w:i/>
          <w:iCs/>
          <w:color w:val="000000"/>
          <w:sz w:val="22"/>
          <w:szCs w:val="22"/>
        </w:rPr>
        <w:t xml:space="preserve">Peer reference market capitalisations (April 2026): QuantumScape ~$7.0B; Enovix ~$2.0B; Solid Power ~$0.6B. At $1.5B pro forma equity, Factorial’s deal valuation is consistent with the QuantumScape/Enovix mid-range, reflecting its stronger-than-average OEM validation relative to Solid Power while pricing in the execution risk versus QuantumScape’s more advanced capitilisation.</w:t>
      </w:r>
    </w:p>
    <w:p>
      <w:pPr>
        <w:spacing w:after="0" w:before="120"/>
      </w:pPr>
    </w:p>
    <w:p>
      <w:r>
        <w:br w:type="page"/>
      </w:r>
    </w:p>
    <w:p>
      <w:pPr>
        <w:pStyle w:val="Heading1"/>
        <w:spacing w:after="160" w:before="320"/>
      </w:pPr>
      <w:r>
        <w:rPr>
          <w:rFonts w:ascii="Arial" w:cs="Arial" w:eastAsia="Arial" w:hAnsi="Arial"/>
          <w:b/>
          <w:bCs/>
          <w:color w:val="1B2A4A"/>
          <w:sz w:val="36"/>
          <w:szCs w:val="36"/>
        </w:rPr>
        <w:t xml:space="preserve">6. Bull Case and Bear Case</w:t>
      </w:r>
    </w:p>
    <w:p>
      <w:pPr>
        <w:pBdr>
          <w:bottom w:val="single" w:color="2E4E7A" w:sz="6" w:space="1"/>
        </w:pBdr>
      </w:pP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C4D8" w:sz="1"/>
              <w:left w:val="single" w:color="B0C4D8" w:sz="1"/>
              <w:bottom w:val="single" w:color="B0C4D8" w:sz="1"/>
              <w:right w:val="single" w:color="B0C4D8" w:sz="1"/>
            </w:tcBorders>
            <w:shd w:fill="EAF5EE" w:val="clear"/>
            <w:tcMar>
              <w:top w:type="dxa" w:w="80"/>
              <w:left w:type="dxa" w:w="160"/>
              <w:bottom w:type="dxa" w:w="80"/>
              <w:right w:type="dxa" w:w="160"/>
            </w:tcMar>
            <w:vAlign w:val="center"/>
          </w:tcPr>
          <w:p>
            <w:r>
              <w:rPr>
                <w:rFonts w:ascii="Arial" w:cs="Arial" w:eastAsia="Arial" w:hAnsi="Arial"/>
                <w:b/>
                <w:bCs/>
                <w:color w:val="1A6B3A"/>
                <w:sz w:val="26"/>
                <w:szCs w:val="26"/>
              </w:rPr>
              <w:t xml:space="preserve">BULL CASE</w:t>
            </w:r>
          </w:p>
        </w:tc>
        <w:tc>
          <w:tcPr>
            <w:tcW w:type="dxa" w:w="4680"/>
            <w:tcBorders>
              <w:top w:val="single" w:color="B0C4D8" w:sz="1"/>
              <w:left w:val="single" w:color="B0C4D8" w:sz="1"/>
              <w:bottom w:val="single" w:color="B0C4D8" w:sz="1"/>
              <w:right w:val="single" w:color="B0C4D8" w:sz="1"/>
            </w:tcBorders>
            <w:shd w:fill="FAEAEA" w:val="clear"/>
            <w:tcMar>
              <w:top w:type="dxa" w:w="80"/>
              <w:left w:type="dxa" w:w="160"/>
              <w:bottom w:type="dxa" w:w="80"/>
              <w:right w:type="dxa" w:w="160"/>
            </w:tcMar>
            <w:vAlign w:val="center"/>
          </w:tcPr>
          <w:p>
            <w:r>
              <w:rPr>
                <w:rFonts w:ascii="Arial" w:cs="Arial" w:eastAsia="Arial" w:hAnsi="Arial"/>
                <w:b/>
                <w:bCs/>
                <w:color w:val="8B1A1A"/>
                <w:sz w:val="26"/>
                <w:szCs w:val="26"/>
              </w:rPr>
              <w:t xml:space="preserve">BEAR CASE</w:t>
            </w:r>
          </w:p>
        </w:tc>
      </w:tr>
      <w:tr>
        <w:tc>
          <w:tcPr>
            <w:tcW w:type="dxa" w:w="4680"/>
            <w:tcBorders>
              <w:top w:val="single" w:color="B0C4D8" w:sz="1"/>
              <w:left w:val="single" w:color="B0C4D8" w:sz="1"/>
              <w:bottom w:val="single" w:color="B0C4D8" w:sz="1"/>
              <w:right w:val="single" w:color="B0C4D8" w:sz="1"/>
            </w:tcBorders>
            <w:shd w:fill="EAF5EE" w:val="clear"/>
            <w:tcMar>
              <w:top w:type="dxa" w:w="80"/>
              <w:left w:type="dxa" w:w="160"/>
              <w:bottom w:type="dxa" w:w="80"/>
              <w:right w:type="dxa" w:w="160"/>
            </w:tcMar>
            <w:vAlign w:val="center"/>
          </w:tcPr>
          <w:p>
            <w:pPr>
              <w:pStyle w:val="ListParagraph"/>
              <w:numPr>
                <w:ilvl w:val="0"/>
                <w:numId w:val="2"/>
              </w:numPr>
              <w:spacing w:after="40" w:before="40"/>
            </w:pPr>
            <w:r>
              <w:rPr>
                <w:rFonts w:ascii="Arial" w:cs="Arial" w:eastAsia="Arial" w:hAnsi="Arial"/>
                <w:color w:val="1A6B3A"/>
                <w:sz w:val="21"/>
                <w:szCs w:val="21"/>
              </w:rPr>
              <w:t xml:space="preserve">Real OEM validation — Stellantis tested 375 Wh/kg at automotive scale; Mercedes completed 1,205 km real-world drive</w:t>
            </w:r>
          </w:p>
          <w:p>
            <w:pPr>
              <w:pStyle w:val="ListParagraph"/>
              <w:numPr>
                <w:ilvl w:val="0"/>
                <w:numId w:val="2"/>
              </w:numPr>
              <w:spacing w:after="40" w:before="40"/>
            </w:pPr>
            <w:r>
              <w:rPr>
                <w:rFonts w:ascii="Arial" w:cs="Arial" w:eastAsia="Arial" w:hAnsi="Arial"/>
                <w:color w:val="1A6B3A"/>
                <w:sz w:val="21"/>
                <w:szCs w:val="21"/>
              </w:rPr>
              <w:t xml:space="preserve">FEST is an 80% drop-in compatible platform, dramatically reducing capex barriers to commercialisation vs clean-sheet ASSB designs</w:t>
            </w:r>
          </w:p>
          <w:p>
            <w:pPr>
              <w:pStyle w:val="ListParagraph"/>
              <w:numPr>
                <w:ilvl w:val="0"/>
                <w:numId w:val="2"/>
              </w:numPr>
              <w:spacing w:after="40" w:before="40"/>
            </w:pPr>
            <w:r>
              <w:rPr>
                <w:rFonts w:ascii="Arial" w:cs="Arial" w:eastAsia="Arial" w:hAnsi="Arial"/>
                <w:color w:val="1A6B3A"/>
                <w:sz w:val="21"/>
                <w:szCs w:val="21"/>
              </w:rPr>
              <w:t xml:space="preserve">Partner ecosystem: Mercedes, Stellantis, Hyundai/Kia, POSCO Future M, IQT (US defence/intelligence) — not a brochure, but confirmed strategic capital</w:t>
            </w:r>
          </w:p>
          <w:p>
            <w:pPr>
              <w:pStyle w:val="ListParagraph"/>
              <w:numPr>
                <w:ilvl w:val="0"/>
                <w:numId w:val="2"/>
              </w:numPr>
              <w:spacing w:after="40" w:before="40"/>
            </w:pPr>
            <w:r>
              <w:rPr>
                <w:rFonts w:ascii="Arial" w:cs="Arial" w:eastAsia="Arial" w:hAnsi="Arial"/>
                <w:color w:val="1A6B3A"/>
                <w:sz w:val="21"/>
                <w:szCs w:val="21"/>
              </w:rPr>
              <w:t xml:space="preserve">Drones and defence TAM provides near-term high-margin revenue independent of long EV timeline — IQT investment signals national security demand</w:t>
            </w:r>
          </w:p>
          <w:p>
            <w:pPr>
              <w:pStyle w:val="ListParagraph"/>
              <w:numPr>
                <w:ilvl w:val="0"/>
                <w:numId w:val="2"/>
              </w:numPr>
              <w:spacing w:after="40" w:before="40"/>
            </w:pPr>
            <w:r>
              <w:rPr>
                <w:rFonts w:ascii="Arial" w:cs="Arial" w:eastAsia="Arial" w:hAnsi="Arial"/>
                <w:color w:val="1A6B3A"/>
                <w:sz w:val="21"/>
                <w:szCs w:val="21"/>
              </w:rPr>
              <w:t xml:space="preserve">150+ patent portfolio covering electrolytes, electrodes, sulfide membranes — defensible IP across multiple layers of the stack</w:t>
            </w:r>
          </w:p>
          <w:p>
            <w:pPr>
              <w:pStyle w:val="ListParagraph"/>
              <w:numPr>
                <w:ilvl w:val="0"/>
                <w:numId w:val="2"/>
              </w:numPr>
              <w:spacing w:after="40" w:before="40"/>
            </w:pPr>
            <w:r>
              <w:rPr>
                <w:rFonts w:ascii="Arial" w:cs="Arial" w:eastAsia="Arial" w:hAnsi="Arial"/>
                <w:color w:val="1A6B3A"/>
                <w:sz w:val="21"/>
                <w:szCs w:val="21"/>
              </w:rPr>
              <w:t xml:space="preserve">Post-close cash of $113.6M (max redemptions) provides ~36 months runway — ample time to reach next commercial milestones</w:t>
            </w:r>
          </w:p>
          <w:p>
            <w:pPr>
              <w:pStyle w:val="ListParagraph"/>
              <w:numPr>
                <w:ilvl w:val="0"/>
                <w:numId w:val="2"/>
              </w:numPr>
              <w:spacing w:after="40" w:before="40"/>
            </w:pPr>
            <w:r>
              <w:rPr>
                <w:rFonts w:ascii="Arial" w:cs="Arial" w:eastAsia="Arial" w:hAnsi="Arial"/>
                <w:color w:val="1A6B3A"/>
                <w:sz w:val="21"/>
                <w:szCs w:val="21"/>
              </w:rPr>
              <w:t xml:space="preserve">Management credibility: Joe Taylor (ex-Panasonic NA Chairman), Dieter Zetsche (ex-Daimler/Mercedes Chairman) on board</w:t>
            </w:r>
          </w:p>
        </w:tc>
        <w:tc>
          <w:tcPr>
            <w:tcW w:type="dxa" w:w="4680"/>
            <w:tcBorders>
              <w:top w:val="single" w:color="B0C4D8" w:sz="1"/>
              <w:left w:val="single" w:color="B0C4D8" w:sz="1"/>
              <w:bottom w:val="single" w:color="B0C4D8" w:sz="1"/>
              <w:right w:val="single" w:color="B0C4D8" w:sz="1"/>
            </w:tcBorders>
            <w:shd w:fill="FAEAEA" w:val="clear"/>
            <w:tcMar>
              <w:top w:type="dxa" w:w="80"/>
              <w:left w:type="dxa" w:w="160"/>
              <w:bottom w:type="dxa" w:w="80"/>
              <w:right w:type="dxa" w:w="160"/>
            </w:tcMar>
            <w:vAlign w:val="center"/>
          </w:tcPr>
          <w:p>
            <w:pPr>
              <w:pStyle w:val="ListParagraph"/>
              <w:numPr>
                <w:ilvl w:val="0"/>
                <w:numId w:val="2"/>
              </w:numPr>
              <w:spacing w:after="40" w:before="40"/>
            </w:pPr>
            <w:r>
              <w:rPr>
                <w:rFonts w:ascii="Arial" w:cs="Arial" w:eastAsia="Arial" w:hAnsi="Arial"/>
                <w:color w:val="8B1A1A"/>
                <w:sz w:val="21"/>
                <w:szCs w:val="21"/>
              </w:rPr>
              <w:t xml:space="preserve">Battery commercialisation is historically brutal — excellent chemistry rarely becomes a good business; numerous well-funded predecessors have failed at scale</w:t>
            </w:r>
          </w:p>
          <w:p>
            <w:pPr>
              <w:pStyle w:val="ListParagraph"/>
              <w:numPr>
                <w:ilvl w:val="0"/>
                <w:numId w:val="2"/>
              </w:numPr>
              <w:spacing w:after="40" w:before="40"/>
            </w:pPr>
            <w:r>
              <w:rPr>
                <w:rFonts w:ascii="Arial" w:cs="Arial" w:eastAsia="Arial" w:hAnsi="Arial"/>
                <w:color w:val="8B1A1A"/>
                <w:sz w:val="21"/>
                <w:szCs w:val="21"/>
              </w:rPr>
              <w:t xml:space="preserve">Methuen factory exit (Oct 2025): left the $50M facility; equipment sold; industrialisation path is non-linear and raises questions about original manufacturing plan</w:t>
            </w:r>
          </w:p>
          <w:p>
            <w:pPr>
              <w:pStyle w:val="ListParagraph"/>
              <w:numPr>
                <w:ilvl w:val="0"/>
                <w:numId w:val="2"/>
              </w:numPr>
              <w:spacing w:after="40" w:before="40"/>
            </w:pPr>
            <w:r>
              <w:rPr>
                <w:rFonts w:ascii="Arial" w:cs="Arial" w:eastAsia="Arial" w:hAnsi="Arial"/>
                <w:color w:val="8B1A1A"/>
                <w:sz w:val="21"/>
                <w:szCs w:val="21"/>
              </w:rPr>
              <w:t xml:space="preserve">No proof yet of scaled, profitable, repeatable volume production — demo fleets and premium niche vehicles are not mass-market supply contracts</w:t>
            </w:r>
          </w:p>
          <w:p>
            <w:pPr>
              <w:pStyle w:val="ListParagraph"/>
              <w:numPr>
                <w:ilvl w:val="0"/>
                <w:numId w:val="2"/>
              </w:numPr>
              <w:spacing w:after="40" w:before="40"/>
            </w:pPr>
            <w:r>
              <w:rPr>
                <w:rFonts w:ascii="Arial" w:cs="Arial" w:eastAsia="Arial" w:hAnsi="Arial"/>
                <w:color w:val="8B1A1A"/>
                <w:sz w:val="21"/>
                <w:szCs w:val="21"/>
              </w:rPr>
              <w:t xml:space="preserve">CFO continuity gap: Emlen Fischer departed back to Centerview in 2025; latest materials list Head of Finance rather than a named CFO</w:t>
            </w:r>
          </w:p>
          <w:p>
            <w:pPr>
              <w:pStyle w:val="ListParagraph"/>
              <w:numPr>
                <w:ilvl w:val="0"/>
                <w:numId w:val="2"/>
              </w:numPr>
              <w:spacing w:after="40" w:before="40"/>
            </w:pPr>
            <w:r>
              <w:rPr>
                <w:rFonts w:ascii="Arial" w:cs="Arial" w:eastAsia="Arial" w:hAnsi="Arial"/>
                <w:color w:val="8B1A1A"/>
                <w:sz w:val="21"/>
                <w:szCs w:val="21"/>
              </w:rPr>
              <w:t xml:space="preserve">FEST quasi-solid framing may attract a lower market multiple than ‘pure’ all-solid-state peers, creating a perception discount even if commercially superior</w:t>
            </w:r>
          </w:p>
          <w:p>
            <w:pPr>
              <w:pStyle w:val="ListParagraph"/>
              <w:numPr>
                <w:ilvl w:val="0"/>
                <w:numId w:val="2"/>
              </w:numPr>
              <w:spacing w:after="40" w:before="40"/>
            </w:pPr>
            <w:r>
              <w:rPr>
                <w:rFonts w:ascii="Arial" w:cs="Arial" w:eastAsia="Arial" w:hAnsi="Arial"/>
                <w:color w:val="8B1A1A"/>
                <w:sz w:val="21"/>
                <w:szCs w:val="21"/>
              </w:rPr>
              <w:t xml:space="preserve">De-SPAC structural risks: PIPE investors sell at listing; redemption noise; forced selling from SPAC arbitrage holders; dilution from 143.9M shares entering float</w:t>
            </w:r>
          </w:p>
          <w:p>
            <w:pPr>
              <w:pStyle w:val="ListParagraph"/>
              <w:numPr>
                <w:ilvl w:val="0"/>
                <w:numId w:val="2"/>
              </w:numPr>
              <w:spacing w:after="40" w:before="40"/>
            </w:pPr>
            <w:r>
              <w:rPr>
                <w:rFonts w:ascii="Arial" w:cs="Arial" w:eastAsia="Arial" w:hAnsi="Arial"/>
                <w:color w:val="8B1A1A"/>
                <w:sz w:val="21"/>
                <w:szCs w:val="21"/>
              </w:rPr>
              <w:t xml:space="preserve">Ongoing accumulation of losses: $255.6M accumulated deficit; company expects cash needs to increase significantly before any material revenue</w:t>
            </w:r>
          </w:p>
        </w:tc>
      </w:tr>
    </w:tbl>
    <w:p>
      <w:pPr>
        <w:spacing w:after="0" w:before="120"/>
      </w:pPr>
    </w:p>
    <w:p>
      <w:r>
        <w:br w:type="page"/>
      </w:r>
    </w:p>
    <w:p>
      <w:pPr>
        <w:pStyle w:val="Heading1"/>
        <w:spacing w:after="160" w:before="320"/>
      </w:pPr>
      <w:r>
        <w:rPr>
          <w:rFonts w:ascii="Arial" w:cs="Arial" w:eastAsia="Arial" w:hAnsi="Arial"/>
          <w:b/>
          <w:bCs/>
          <w:color w:val="1B2A4A"/>
          <w:sz w:val="36"/>
          <w:szCs w:val="36"/>
        </w:rPr>
        <w:t xml:space="preserve">7. Entry Protocol and Position Management</w:t>
      </w:r>
    </w:p>
    <w:p>
      <w:pPr>
        <w:pBdr>
          <w:bottom w:val="single" w:color="2E4E7A" w:sz="6" w:space="1"/>
        </w:pBdr>
      </w:pPr>
    </w:p>
    <w:p>
      <w:pPr>
        <w:spacing w:after="40" w:before="80"/>
      </w:pPr>
    </w:p>
    <w:p>
      <w:pPr>
        <w:pStyle w:val="Heading2"/>
        <w:spacing w:after="120" w:before="240"/>
      </w:pPr>
      <w:r>
        <w:rPr>
          <w:rFonts w:ascii="Arial" w:cs="Arial" w:eastAsia="Arial" w:hAnsi="Arial"/>
          <w:b/>
          <w:bCs/>
          <w:color w:val="2E4E7A"/>
          <w:sz w:val="28"/>
          <w:szCs w:val="28"/>
        </w:rPr>
        <w:t xml:space="preserve">7.1  Pre-Close Entry (CGCT)</w:t>
      </w:r>
    </w:p>
    <w:p>
      <w:pPr>
        <w:spacing w:after="60" w:before="60"/>
      </w:pPr>
      <w:r>
        <w:rPr>
          <w:rFonts w:ascii="Arial" w:cs="Arial" w:eastAsia="Arial" w:hAnsi="Arial"/>
          <w:b w:val="false"/>
          <w:bCs w:val="false"/>
          <w:i w:val="false"/>
          <w:iCs w:val="false"/>
          <w:color w:val="000000"/>
          <w:sz w:val="22"/>
          <w:szCs w:val="22"/>
        </w:rPr>
        <w:t xml:space="preserve">The cleanest entry point is via CGCT Class A ordinary shares at or near the current market price of $10.26. At this level, the trust redemption right provides a natural floor of approximately $10.27 per share. Maximum pre-close downside: ~$0.26/share (2.5%). Maximum pre-close upside before FAC listing: limited to any pre-announcement premium as market participants price in deal completion.</w:t>
      </w:r>
    </w:p>
    <w:p>
      <w:pPr>
        <w:spacing w:after="40" w:before="60"/>
      </w:pPr>
    </w:p>
    <w:p>
      <w:pPr>
        <w:spacing w:after="60" w:before="60"/>
      </w:pPr>
      <w:r>
        <w:rPr>
          <w:rFonts w:ascii="Arial" w:cs="Arial" w:eastAsia="Arial" w:hAnsi="Arial"/>
          <w:b w:val="false"/>
          <w:bCs w:val="false"/>
          <w:i w:val="false"/>
          <w:iCs w:val="false"/>
          <w:color w:val="000000"/>
          <w:sz w:val="22"/>
          <w:szCs w:val="22"/>
        </w:rPr>
        <w:t xml:space="preserve">Recommended pre-close allocation: $3,000 (approximately 292 shares at $10.26). Place as a limit order GTC. This reflects the SI-37 speculative position discipline applied to a name with material execution risk, partially offset by the structural floor.</w:t>
      </w:r>
    </w:p>
    <w:p>
      <w:pPr>
        <w:spacing w:after="40" w:before="80"/>
      </w:pPr>
    </w:p>
    <w:p>
      <w:pPr>
        <w:pStyle w:val="Heading2"/>
        <w:spacing w:after="120" w:before="240"/>
      </w:pPr>
      <w:r>
        <w:rPr>
          <w:rFonts w:ascii="Arial" w:cs="Arial" w:eastAsia="Arial" w:hAnsi="Arial"/>
          <w:b/>
          <w:bCs/>
          <w:color w:val="2E4E7A"/>
          <w:sz w:val="28"/>
          <w:szCs w:val="28"/>
        </w:rPr>
        <w:t xml:space="preserve">7.2  Post-Close Rules (FAC)</w:t>
      </w:r>
    </w:p>
    <w:p>
      <w:pPr>
        <w:spacing w:after="60" w:before="60"/>
      </w:pPr>
      <w:r>
        <w:rPr>
          <w:rFonts w:ascii="Arial" w:cs="Arial" w:eastAsia="Arial" w:hAnsi="Arial"/>
          <w:b w:val="false"/>
          <w:bCs w:val="false"/>
          <w:i w:val="false"/>
          <w:iCs w:val="false"/>
          <w:color w:val="000000"/>
          <w:sz w:val="22"/>
          <w:szCs w:val="22"/>
        </w:rPr>
        <w:t xml:space="preserve">The trust floor disappears the moment the business combination closes and FAC begins trading. FAC is an ordinary speculative equity from that point forward. The following post-listing rules must be applied without discretion:</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4680"/>
      </w:tblGrid>
      <w:tr>
        <w:tc>
          <w:tcPr>
            <w:tcW w:type="dxa" w:w="216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FAC Opening Price</w:t>
            </w:r>
          </w:p>
        </w:tc>
        <w:tc>
          <w:tcPr>
            <w:tcW w:type="dxa" w:w="252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Action</w:t>
            </w:r>
          </w:p>
        </w:tc>
        <w:tc>
          <w:tcPr>
            <w:tcW w:type="dxa" w:w="468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Rationale</w:t>
            </w:r>
          </w:p>
        </w:tc>
      </w:tr>
      <w:tr>
        <w:tc>
          <w:tcPr>
            <w:tcW w:type="dxa" w:w="2160"/>
            <w:tcBorders>
              <w:top w:val="single" w:color="B0C4D8" w:sz="1"/>
              <w:left w:val="single" w:color="B0C4D8" w:sz="1"/>
              <w:bottom w:val="single" w:color="B0C4D8" w:sz="1"/>
              <w:right w:val="single" w:color="B0C4D8" w:sz="1"/>
            </w:tcBorders>
            <w:shd w:fill="EAF5EE" w:val="clear"/>
            <w:tcMar>
              <w:top w:type="dxa" w:w="80"/>
              <w:left w:type="dxa" w:w="160"/>
              <w:bottom w:type="dxa" w:w="80"/>
              <w:right w:type="dxa" w:w="160"/>
            </w:tcMar>
          </w:tcPr>
          <w:p>
            <w:r>
              <w:rPr>
                <w:rFonts w:ascii="Arial" w:cs="Arial" w:eastAsia="Arial" w:hAnsi="Arial"/>
                <w:b/>
                <w:bCs/>
                <w:color w:val="1A6B3A"/>
                <w:sz w:val="21"/>
                <w:szCs w:val="21"/>
              </w:rPr>
              <w:t xml:space="preserve">Above $12.00</w:t>
            </w:r>
          </w:p>
        </w:tc>
        <w:tc>
          <w:tcPr>
            <w:tcW w:type="dxa" w:w="2520"/>
            <w:tcBorders>
              <w:top w:val="single" w:color="B0C4D8" w:sz="1"/>
              <w:left w:val="single" w:color="B0C4D8" w:sz="1"/>
              <w:bottom w:val="single" w:color="B0C4D8" w:sz="1"/>
              <w:right w:val="single" w:color="B0C4D8" w:sz="1"/>
            </w:tcBorders>
            <w:shd w:fill="EAF5EE" w:val="clear"/>
            <w:tcMar>
              <w:top w:type="dxa" w:w="80"/>
              <w:left w:type="dxa" w:w="160"/>
              <w:bottom w:type="dxa" w:w="80"/>
              <w:right w:type="dxa" w:w="160"/>
            </w:tcMar>
          </w:tcPr>
          <w:p>
            <w:r>
              <w:rPr>
                <w:rFonts w:ascii="Arial" w:cs="Arial" w:eastAsia="Arial" w:hAnsi="Arial"/>
                <w:b w:val="false"/>
                <w:bCs w:val="false"/>
                <w:color w:val="000000"/>
                <w:sz w:val="21"/>
                <w:szCs w:val="21"/>
              </w:rPr>
              <w:t xml:space="preserve">Sell 50% of position at market</w:t>
            </w:r>
          </w:p>
        </w:tc>
        <w:tc>
          <w:tcPr>
            <w:tcW w:type="dxa" w:w="4680"/>
            <w:tcBorders>
              <w:top w:val="single" w:color="B0C4D8" w:sz="1"/>
              <w:left w:val="single" w:color="B0C4D8" w:sz="1"/>
              <w:bottom w:val="single" w:color="B0C4D8" w:sz="1"/>
              <w:right w:val="single" w:color="B0C4D8" w:sz="1"/>
            </w:tcBorders>
            <w:shd w:fill="EAF5EE" w:val="clear"/>
            <w:tcMar>
              <w:top w:type="dxa" w:w="80"/>
              <w:left w:type="dxa" w:w="160"/>
              <w:bottom w:type="dxa" w:w="80"/>
              <w:right w:type="dxa" w:w="160"/>
            </w:tcMar>
          </w:tcPr>
          <w:p>
            <w:r>
              <w:rPr>
                <w:rFonts w:ascii="Arial" w:cs="Arial" w:eastAsia="Arial" w:hAnsi="Arial"/>
                <w:b w:val="false"/>
                <w:bCs w:val="false"/>
                <w:color w:val="000000"/>
                <w:sz w:val="21"/>
                <w:szCs w:val="21"/>
              </w:rPr>
              <w:t xml:space="preserve">Bank ~$600+ in profit. Remaining 146 shares ride at effectively near-zero net cost basis given profit taken. Captures listing pop without full exposure to post-listing sell-off.</w:t>
            </w:r>
          </w:p>
        </w:tc>
      </w:tr>
      <w:tr>
        <w:tc>
          <w:tcPr>
            <w:tcW w:type="dxa" w:w="216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$10.00–$12.00</w:t>
            </w:r>
          </w:p>
        </w:tc>
        <w:tc>
          <w:tcPr>
            <w:tcW w:type="dxa" w:w="252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Hold full position, set stop at $8.00</w:t>
            </w:r>
          </w:p>
        </w:tc>
        <w:tc>
          <w:tcPr>
            <w:tcW w:type="dxa" w:w="46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Break-even to modest premium. Stop at $8.00 caps maximum post-close loss at approximately $600 on the $3,000 position. Gives time for FAC to establish trading range.</w:t>
            </w:r>
          </w:p>
        </w:tc>
      </w:tr>
      <w:tr>
        <w:tc>
          <w:tcPr>
            <w:tcW w:type="dxa" w:w="2160"/>
            <w:tcBorders>
              <w:top w:val="single" w:color="B0C4D8" w:sz="1"/>
              <w:left w:val="single" w:color="B0C4D8" w:sz="1"/>
              <w:bottom w:val="single" w:color="B0C4D8" w:sz="1"/>
              <w:right w:val="single" w:color="B0C4D8" w:sz="1"/>
            </w:tcBorders>
            <w:shd w:fill="FAEAEA" w:val="clear"/>
            <w:tcMar>
              <w:top w:type="dxa" w:w="80"/>
              <w:left w:type="dxa" w:w="160"/>
              <w:bottom w:type="dxa" w:w="80"/>
              <w:right w:type="dxa" w:w="160"/>
            </w:tcMar>
          </w:tcPr>
          <w:p>
            <w:r>
              <w:rPr>
                <w:rFonts w:ascii="Arial" w:cs="Arial" w:eastAsia="Arial" w:hAnsi="Arial"/>
                <w:b/>
                <w:bCs/>
                <w:color w:val="8B1A1A"/>
                <w:sz w:val="21"/>
                <w:szCs w:val="21"/>
              </w:rPr>
              <w:t xml:space="preserve">Below $10.00</w:t>
            </w:r>
          </w:p>
        </w:tc>
        <w:tc>
          <w:tcPr>
            <w:tcW w:type="dxa" w:w="2520"/>
            <w:tcBorders>
              <w:top w:val="single" w:color="B0C4D8" w:sz="1"/>
              <w:left w:val="single" w:color="B0C4D8" w:sz="1"/>
              <w:bottom w:val="single" w:color="B0C4D8" w:sz="1"/>
              <w:right w:val="single" w:color="B0C4D8" w:sz="1"/>
            </w:tcBorders>
            <w:shd w:fill="FAEAEA" w:val="clear"/>
            <w:tcMar>
              <w:top w:type="dxa" w:w="80"/>
              <w:left w:type="dxa" w:w="160"/>
              <w:bottom w:type="dxa" w:w="80"/>
              <w:right w:type="dxa" w:w="160"/>
            </w:tcMar>
          </w:tcPr>
          <w:p>
            <w:r>
              <w:rPr>
                <w:rFonts w:ascii="Arial" w:cs="Arial" w:eastAsia="Arial" w:hAnsi="Arial"/>
                <w:b w:val="false"/>
                <w:bCs w:val="false"/>
                <w:color w:val="000000"/>
                <w:sz w:val="21"/>
                <w:szCs w:val="21"/>
              </w:rPr>
              <w:t xml:space="preserve">Exit entirely at market</w:t>
            </w:r>
          </w:p>
        </w:tc>
        <w:tc>
          <w:tcPr>
            <w:tcW w:type="dxa" w:w="4680"/>
            <w:tcBorders>
              <w:top w:val="single" w:color="B0C4D8" w:sz="1"/>
              <w:left w:val="single" w:color="B0C4D8" w:sz="1"/>
              <w:bottom w:val="single" w:color="B0C4D8" w:sz="1"/>
              <w:right w:val="single" w:color="B0C4D8" w:sz="1"/>
            </w:tcBorders>
            <w:shd w:fill="FAEAEA" w:val="clear"/>
            <w:tcMar>
              <w:top w:type="dxa" w:w="80"/>
              <w:left w:type="dxa" w:w="160"/>
              <w:bottom w:type="dxa" w:w="80"/>
              <w:right w:type="dxa" w:w="160"/>
            </w:tcMar>
          </w:tcPr>
          <w:p>
            <w:r>
              <w:rPr>
                <w:rFonts w:ascii="Arial" w:cs="Arial" w:eastAsia="Arial" w:hAnsi="Arial"/>
                <w:b w:val="false"/>
                <w:bCs w:val="false"/>
                <w:color w:val="000000"/>
                <w:sz w:val="21"/>
                <w:szCs w:val="21"/>
              </w:rPr>
              <w:t xml:space="preserve">Opening below trust value signals high redemptions and/or institutional disappointment. The thesis has broken before it started. Take the small loss and preserve capital for the better post-listing dip entry.</w:t>
            </w:r>
          </w:p>
        </w:tc>
      </w:tr>
    </w:tbl>
    <w:p>
      <w:pPr>
        <w:spacing w:after="40" w:before="80"/>
      </w:pPr>
    </w:p>
    <w:p>
      <w:pPr>
        <w:pStyle w:val="Heading2"/>
        <w:spacing w:after="120" w:before="240"/>
      </w:pPr>
      <w:r>
        <w:rPr>
          <w:rFonts w:ascii="Arial" w:cs="Arial" w:eastAsia="Arial" w:hAnsi="Arial"/>
          <w:b/>
          <w:bCs/>
          <w:color w:val="2E4E7A"/>
          <w:sz w:val="28"/>
          <w:szCs w:val="28"/>
        </w:rPr>
        <w:t xml:space="preserve">7.3  Post-Listing Tranche 2 Opportunity</w:t>
      </w:r>
    </w:p>
    <w:p>
      <w:pPr>
        <w:spacing w:after="60" w:before="60"/>
      </w:pPr>
      <w:r>
        <w:rPr>
          <w:rFonts w:ascii="Arial" w:cs="Arial" w:eastAsia="Arial" w:hAnsi="Arial"/>
          <w:b w:val="false"/>
          <w:bCs w:val="false"/>
          <w:i w:val="false"/>
          <w:iCs w:val="false"/>
          <w:color w:val="000000"/>
          <w:sz w:val="22"/>
          <w:szCs w:val="22"/>
        </w:rPr>
        <w:t xml:space="preserve">De-SPACs statistically sell off 20-40% in the weeks following listing due to PIPE selling, redemption noise, and forced arbitrage exits. A secondary entry at $7.50-9.00 post-listing, if available, would represent a significantly better risk/reward entry than the pre-close price. Maintain $1,500 of dry powder for this potential opportunity. Total maximum exposure across both tranches: $4,500.</w:t>
      </w:r>
    </w:p>
    <w:p>
      <w:pPr>
        <w:spacing w:after="40" w:before="80"/>
      </w:pPr>
    </w:p>
    <w:p>
      <w:pPr>
        <w:pStyle w:val="Heading2"/>
        <w:spacing w:after="120" w:before="240"/>
      </w:pPr>
      <w:r>
        <w:rPr>
          <w:rFonts w:ascii="Arial" w:cs="Arial" w:eastAsia="Arial" w:hAnsi="Arial"/>
          <w:b/>
          <w:bCs/>
          <w:color w:val="2E4E7A"/>
          <w:sz w:val="28"/>
          <w:szCs w:val="28"/>
        </w:rPr>
        <w:t xml:space="preserve">7.4  Conviction Add Catalysts</w:t>
      </w:r>
    </w:p>
    <w:p>
      <w:pPr>
        <w:pStyle w:val="ListParagraph"/>
        <w:numPr>
          <w:ilvl w:val="0"/>
          <w:numId w:val="2"/>
        </w:numPr>
        <w:spacing w:after="40" w:before="40"/>
      </w:pPr>
      <w:r>
        <w:rPr>
          <w:rFonts w:ascii="Arial" w:cs="Arial" w:eastAsia="Arial" w:hAnsi="Arial"/>
          <w:color w:val="000000"/>
          <w:sz w:val="22"/>
          <w:szCs w:val="22"/>
        </w:rPr>
        <w:t xml:space="preserve">Major OEM production supply contract announced (Stellantis, Mercedes, Hyundai/Kia)</w:t>
      </w:r>
    </w:p>
    <w:p>
      <w:pPr>
        <w:pStyle w:val="ListParagraph"/>
        <w:numPr>
          <w:ilvl w:val="0"/>
          <w:numId w:val="2"/>
        </w:numPr>
        <w:spacing w:after="40" w:before="40"/>
      </w:pPr>
      <w:r>
        <w:rPr>
          <w:rFonts w:ascii="Arial" w:cs="Arial" w:eastAsia="Arial" w:hAnsi="Arial"/>
          <w:color w:val="000000"/>
          <w:sz w:val="22"/>
          <w:szCs w:val="22"/>
        </w:rPr>
        <w:t xml:space="preserve">Stellantis 2026 demo fleet publicly confirmed and launched</w:t>
      </w:r>
    </w:p>
    <w:p>
      <w:pPr>
        <w:pStyle w:val="ListParagraph"/>
        <w:numPr>
          <w:ilvl w:val="0"/>
          <w:numId w:val="2"/>
        </w:numPr>
        <w:spacing w:after="40" w:before="40"/>
      </w:pPr>
      <w:r>
        <w:rPr>
          <w:rFonts w:ascii="Arial" w:cs="Arial" w:eastAsia="Arial" w:hAnsi="Arial"/>
          <w:color w:val="000000"/>
          <w:sz w:val="22"/>
          <w:szCs w:val="22"/>
        </w:rPr>
        <w:t xml:space="preserve">S-4 declared effective and shareholder vote date announced</w:t>
      </w:r>
    </w:p>
    <w:p>
      <w:pPr>
        <w:pStyle w:val="ListParagraph"/>
        <w:numPr>
          <w:ilvl w:val="0"/>
          <w:numId w:val="2"/>
        </w:numPr>
        <w:spacing w:after="40" w:before="40"/>
      </w:pPr>
      <w:r>
        <w:rPr>
          <w:rFonts w:ascii="Arial" w:cs="Arial" w:eastAsia="Arial" w:hAnsi="Arial"/>
          <w:color w:val="000000"/>
          <w:sz w:val="22"/>
          <w:szCs w:val="22"/>
        </w:rPr>
        <w:t xml:space="preserve">Solstice platform milestone: pilot production validation or second OEM validation</w:t>
      </w:r>
    </w:p>
    <w:p>
      <w:pPr>
        <w:pStyle w:val="ListParagraph"/>
        <w:numPr>
          <w:ilvl w:val="0"/>
          <w:numId w:val="2"/>
        </w:numPr>
        <w:spacing w:after="40" w:before="40"/>
      </w:pPr>
      <w:r>
        <w:rPr>
          <w:rFonts w:ascii="Arial" w:cs="Arial" w:eastAsia="Arial" w:hAnsi="Arial"/>
          <w:color w:val="000000"/>
          <w:sz w:val="22"/>
          <w:szCs w:val="22"/>
        </w:rPr>
        <w:t xml:space="preserve">US defence contract for drone/robotics applications (IQT follow-through)</w:t>
      </w:r>
    </w:p>
    <w:p>
      <w:pPr>
        <w:pStyle w:val="ListParagraph"/>
        <w:numPr>
          <w:ilvl w:val="0"/>
          <w:numId w:val="2"/>
        </w:numPr>
        <w:spacing w:after="40" w:before="40"/>
      </w:pPr>
      <w:r>
        <w:rPr>
          <w:rFonts w:ascii="Arial" w:cs="Arial" w:eastAsia="Arial" w:hAnsi="Arial"/>
          <w:color w:val="000000"/>
          <w:sz w:val="22"/>
          <w:szCs w:val="22"/>
        </w:rPr>
        <w:t xml:space="preserve">Karma Kaveya vehicle programme update confirming FEST cell deployment</w:t>
      </w:r>
    </w:p>
    <w:p>
      <w:pPr>
        <w:spacing w:after="40" w:before="80"/>
      </w:pPr>
    </w:p>
    <w:p>
      <w:pPr>
        <w:pStyle w:val="Heading2"/>
        <w:spacing w:after="120" w:before="240"/>
      </w:pPr>
      <w:r>
        <w:rPr>
          <w:rFonts w:ascii="Arial" w:cs="Arial" w:eastAsia="Arial" w:hAnsi="Arial"/>
          <w:b/>
          <w:bCs/>
          <w:color w:val="2E4E7A"/>
          <w:sz w:val="28"/>
          <w:szCs w:val="28"/>
        </w:rPr>
        <w:t xml:space="preserve">7.5  Exit Triggers</w:t>
      </w:r>
    </w:p>
    <w:p>
      <w:pPr>
        <w:pStyle w:val="ListParagraph"/>
        <w:numPr>
          <w:ilvl w:val="0"/>
          <w:numId w:val="2"/>
        </w:numPr>
        <w:spacing w:after="40" w:before="40"/>
      </w:pPr>
      <w:r>
        <w:rPr>
          <w:rFonts w:ascii="Arial" w:cs="Arial" w:eastAsia="Arial" w:hAnsi="Arial"/>
          <w:color w:val="000000"/>
          <w:sz w:val="22"/>
          <w:szCs w:val="22"/>
        </w:rPr>
        <w:t xml:space="preserve">Deal fails to close by 12 November 2026: CGCT redeems at ~$10. Exit. No loss.</w:t>
      </w:r>
    </w:p>
    <w:p>
      <w:pPr>
        <w:pStyle w:val="ListParagraph"/>
        <w:numPr>
          <w:ilvl w:val="0"/>
          <w:numId w:val="2"/>
        </w:numPr>
        <w:spacing w:after="40" w:before="40"/>
      </w:pPr>
      <w:r>
        <w:rPr>
          <w:rFonts w:ascii="Arial" w:cs="Arial" w:eastAsia="Arial" w:hAnsi="Arial"/>
          <w:color w:val="000000"/>
          <w:sz w:val="22"/>
          <w:szCs w:val="22"/>
        </w:rPr>
        <w:t xml:space="preserve">Stellantis or Mercedes publicly withdraws from partnership or validation.</w:t>
      </w:r>
    </w:p>
    <w:p>
      <w:pPr>
        <w:pStyle w:val="ListParagraph"/>
        <w:numPr>
          <w:ilvl w:val="0"/>
          <w:numId w:val="2"/>
        </w:numPr>
        <w:spacing w:after="40" w:before="40"/>
      </w:pPr>
      <w:r>
        <w:rPr>
          <w:rFonts w:ascii="Arial" w:cs="Arial" w:eastAsia="Arial" w:hAnsi="Arial"/>
          <w:color w:val="000000"/>
          <w:sz w:val="22"/>
          <w:szCs w:val="22"/>
        </w:rPr>
        <w:t xml:space="preserve">SEC review raises material concerns about S-4 disclosures.</w:t>
      </w:r>
    </w:p>
    <w:p>
      <w:pPr>
        <w:pStyle w:val="ListParagraph"/>
        <w:numPr>
          <w:ilvl w:val="0"/>
          <w:numId w:val="2"/>
        </w:numPr>
        <w:spacing w:after="40" w:before="40"/>
      </w:pPr>
      <w:r>
        <w:rPr>
          <w:rFonts w:ascii="Arial" w:cs="Arial" w:eastAsia="Arial" w:hAnsi="Arial"/>
          <w:color w:val="000000"/>
          <w:sz w:val="22"/>
          <w:szCs w:val="22"/>
        </w:rPr>
        <w:t xml:space="preserve">FAC opens below $10.00 at listing (per post-close rule above).</w:t>
      </w:r>
    </w:p>
    <w:p>
      <w:pPr>
        <w:pStyle w:val="ListParagraph"/>
        <w:numPr>
          <w:ilvl w:val="0"/>
          <w:numId w:val="2"/>
        </w:numPr>
        <w:spacing w:after="40" w:before="40"/>
      </w:pPr>
      <w:r>
        <w:rPr>
          <w:rFonts w:ascii="Arial" w:cs="Arial" w:eastAsia="Arial" w:hAnsi="Arial"/>
          <w:color w:val="000000"/>
          <w:sz w:val="22"/>
          <w:szCs w:val="22"/>
        </w:rPr>
        <w:t xml:space="preserve">FAC triggers the $8.00 stop post-listing.</w:t>
      </w:r>
    </w:p>
    <w:p>
      <w:pPr>
        <w:spacing w:after="0" w:before="120"/>
      </w:pPr>
    </w:p>
    <w:p>
      <w:r>
        <w:br w:type="page"/>
      </w:r>
    </w:p>
    <w:p>
      <w:pPr>
        <w:pStyle w:val="Heading1"/>
        <w:spacing w:after="160" w:before="320"/>
      </w:pPr>
      <w:r>
        <w:rPr>
          <w:rFonts w:ascii="Arial" w:cs="Arial" w:eastAsia="Arial" w:hAnsi="Arial"/>
          <w:b/>
          <w:bCs/>
          <w:color w:val="1B2A4A"/>
          <w:sz w:val="36"/>
          <w:szCs w:val="36"/>
        </w:rPr>
        <w:t xml:space="preserve">8. Key Dates and Monitoring Checklist</w:t>
      </w:r>
    </w:p>
    <w:p>
      <w:pPr>
        <w:pBdr>
          <w:bottom w:val="single" w:color="2E4E7A" w:sz="6" w:space="1"/>
        </w:pBdr>
      </w:pP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4680"/>
      </w:tblGrid>
      <w:tr>
        <w:tc>
          <w:tcPr>
            <w:tcW w:type="dxa" w:w="216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Date / Trigger</w:t>
            </w:r>
          </w:p>
        </w:tc>
        <w:tc>
          <w:tcPr>
            <w:tcW w:type="dxa" w:w="252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Event</w:t>
            </w:r>
          </w:p>
        </w:tc>
        <w:tc>
          <w:tcPr>
            <w:tcW w:type="dxa" w:w="468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Action Required</w:t>
            </w:r>
          </w:p>
        </w:tc>
      </w:tr>
      <w:tr>
        <w:tc>
          <w:tcPr>
            <w:tcW w:type="dxa" w:w="216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~May 2026</w:t>
            </w:r>
          </w:p>
        </w:tc>
        <w:tc>
          <w:tcPr>
            <w:tcW w:type="dxa" w:w="252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bCs/>
                <w:color w:val="7A4F00"/>
                <w:sz w:val="21"/>
                <w:szCs w:val="21"/>
              </w:rPr>
              <w:t xml:space="preserve">Business combination close</w:t>
            </w:r>
          </w:p>
        </w:tc>
        <w:tc>
          <w:tcPr>
            <w:tcW w:type="dxa" w:w="46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Apply post-listing rules immediately on FAC’s first trading day. Do not wait.</w:t>
            </w:r>
          </w:p>
        </w:tc>
      </w:tr>
      <w:tr>
        <w:tc>
          <w:tcPr>
            <w:tcW w:type="dxa" w:w="216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Post S-4 effectiveness</w:t>
            </w:r>
          </w:p>
        </w:tc>
        <w:tc>
          <w:tcPr>
            <w:tcW w:type="dxa" w:w="252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Definitive proxy mailed; vote record date set</w:t>
            </w:r>
          </w:p>
        </w:tc>
        <w:tc>
          <w:tcPr>
            <w:tcW w:type="dxa" w:w="46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Read definitive proxy for any material changes to deal terms. Verify redemption environment.</w:t>
            </w:r>
          </w:p>
        </w:tc>
      </w:tr>
      <w:tr>
        <w:tc>
          <w:tcPr>
            <w:tcW w:type="dxa" w:w="216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2026 demo fleet</w:t>
            </w:r>
          </w:p>
        </w:tc>
        <w:tc>
          <w:tcPr>
            <w:tcW w:type="dxa" w:w="252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Stellantis FEST demo fleet deployment</w:t>
            </w:r>
          </w:p>
        </w:tc>
        <w:tc>
          <w:tcPr>
            <w:tcW w:type="dxa" w:w="46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Monitor for public announcement. If confirmed and positive, consider Tranche 2 or conviction add.</w:t>
            </w:r>
          </w:p>
        </w:tc>
      </w:tr>
      <w:tr>
        <w:tc>
          <w:tcPr>
            <w:tcW w:type="dxa" w:w="216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Late 2027</w:t>
            </w:r>
          </w:p>
        </w:tc>
        <w:tc>
          <w:tcPr>
            <w:tcW w:type="dxa" w:w="252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Karma Kaveya scheduled delivery</w:t>
            </w:r>
          </w:p>
        </w:tc>
        <w:tc>
          <w:tcPr>
            <w:tcW w:type="dxa" w:w="46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First commercial FEST cell deployment. Product reviews and production data.</w:t>
            </w:r>
          </w:p>
        </w:tc>
      </w:tr>
      <w:tr>
        <w:tc>
          <w:tcPr>
            <w:tcW w:type="dxa" w:w="216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12 Nov 2026</w:t>
            </w:r>
          </w:p>
        </w:tc>
        <w:tc>
          <w:tcPr>
            <w:tcW w:type="dxa" w:w="252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bCs/>
                <w:color w:val="8B1A1A"/>
                <w:sz w:val="21"/>
                <w:szCs w:val="21"/>
              </w:rPr>
              <w:t xml:space="preserve">Deal deadline</w:t>
            </w:r>
          </w:p>
        </w:tc>
        <w:tc>
          <w:tcPr>
            <w:tcW w:type="dxa" w:w="46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If deal not closed: CGCT redeems. Exit pre-close. Minimal loss. Reassess FAC when/if relisted via alternative structure.</w:t>
            </w:r>
          </w:p>
        </w:tc>
      </w:tr>
      <w:tr>
        <w:tc>
          <w:tcPr>
            <w:tcW w:type="dxa" w:w="216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Each session</w:t>
            </w:r>
          </w:p>
        </w:tc>
        <w:tc>
          <w:tcPr>
            <w:tcW w:type="dxa" w:w="252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Section K AI/tech scan</w:t>
            </w:r>
          </w:p>
        </w:tc>
        <w:tc>
          <w:tcPr>
            <w:tcW w:type="dxa" w:w="46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Include CGCT/FAC check in every full scan. Any SEC filing, OEM announcement, or shareholder vote notice is an action trigger.</w:t>
            </w:r>
          </w:p>
        </w:tc>
      </w:tr>
      <w:tr>
        <w:tc>
          <w:tcPr>
            <w:tcW w:type="dxa" w:w="216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End of decade</w:t>
            </w:r>
          </w:p>
        </w:tc>
        <w:tc>
          <w:tcPr>
            <w:tcW w:type="dxa" w:w="252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Mercedes series production target</w:t>
            </w:r>
          </w:p>
        </w:tc>
        <w:tc>
          <w:tcPr>
            <w:tcW w:type="dxa" w:w="46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Long-dated bull case catalyst. Not relevant to near-term position management.</w:t>
            </w:r>
          </w:p>
        </w:tc>
      </w:tr>
    </w:tbl>
    <w:p>
      <w:pPr>
        <w:spacing w:after="0" w:before="120"/>
      </w:pPr>
    </w:p>
    <w:p>
      <w:r>
        <w:br w:type="page"/>
      </w:r>
    </w:p>
    <w:p>
      <w:pPr>
        <w:pStyle w:val="Heading1"/>
        <w:spacing w:after="160" w:before="320"/>
      </w:pPr>
      <w:r>
        <w:rPr>
          <w:rFonts w:ascii="Arial" w:cs="Arial" w:eastAsia="Arial" w:hAnsi="Arial"/>
          <w:b/>
          <w:bCs/>
          <w:color w:val="1B2A4A"/>
          <w:sz w:val="36"/>
          <w:szCs w:val="36"/>
        </w:rPr>
        <w:t xml:space="preserve">9. Intellectual Property and Management</w:t>
      </w:r>
    </w:p>
    <w:p>
      <w:pPr>
        <w:pBdr>
          <w:bottom w:val="single" w:color="2E4E7A" w:sz="6" w:space="1"/>
        </w:pBdr>
      </w:pPr>
    </w:p>
    <w:p>
      <w:pPr>
        <w:spacing w:after="40" w:before="80"/>
      </w:pPr>
    </w:p>
    <w:p>
      <w:pPr>
        <w:pStyle w:val="Heading2"/>
        <w:spacing w:after="120" w:before="240"/>
      </w:pPr>
      <w:r>
        <w:rPr>
          <w:rFonts w:ascii="Arial" w:cs="Arial" w:eastAsia="Arial" w:hAnsi="Arial"/>
          <w:b/>
          <w:bCs/>
          <w:color w:val="2E4E7A"/>
          <w:sz w:val="28"/>
          <w:szCs w:val="28"/>
        </w:rPr>
        <w:t xml:space="preserve">9.1  Patent Portfolio</w:t>
      </w:r>
    </w:p>
    <w:p>
      <w:pPr>
        <w:spacing w:after="60" w:before="60"/>
      </w:pPr>
      <w:r>
        <w:rPr>
          <w:rFonts w:ascii="Arial" w:cs="Arial" w:eastAsia="Arial" w:hAnsi="Arial"/>
          <w:b w:val="false"/>
          <w:bCs w:val="false"/>
          <w:i w:val="false"/>
          <w:iCs w:val="false"/>
          <w:color w:val="000000"/>
          <w:sz w:val="22"/>
          <w:szCs w:val="22"/>
        </w:rPr>
        <w:t xml:space="preserve">Factorial holds 150+ patents and patent applications covering multiple layers of the battery stack. The portfolio is not concentrated in a single chemistry or architecture, which provides broader defensive coverage. Key patent families confirmed from public records include:</w:t>
      </w:r>
    </w:p>
    <w:p>
      <w:pPr>
        <w:spacing w:after="40" w:before="60"/>
      </w:pPr>
    </w:p>
    <w:p>
      <w:pPr>
        <w:pStyle w:val="ListParagraph"/>
        <w:numPr>
          <w:ilvl w:val="0"/>
          <w:numId w:val="2"/>
        </w:numPr>
        <w:spacing w:after="40" w:before="40"/>
      </w:pPr>
      <w:r>
        <w:rPr>
          <w:rFonts w:ascii="Arial" w:cs="Arial" w:eastAsia="Arial" w:hAnsi="Arial"/>
          <w:color w:val="000000"/>
          <w:sz w:val="22"/>
          <w:szCs w:val="22"/>
        </w:rPr>
        <w:t xml:space="preserve">High-voltage electrolytes resistant to overheating for LNMO, NCM and NCA chemistries (US 11,575,147; 11,967,675; 12,243,977)</w:t>
      </w:r>
    </w:p>
    <w:p>
      <w:pPr>
        <w:pStyle w:val="ListParagraph"/>
        <w:numPr>
          <w:ilvl w:val="0"/>
          <w:numId w:val="2"/>
        </w:numPr>
        <w:spacing w:after="40" w:before="40"/>
      </w:pPr>
      <w:r>
        <w:rPr>
          <w:rFonts w:ascii="Arial" w:cs="Arial" w:eastAsia="Arial" w:hAnsi="Arial"/>
          <w:color w:val="000000"/>
          <w:sz w:val="22"/>
          <w:szCs w:val="22"/>
        </w:rPr>
        <w:t xml:space="preserve">Electrodes for lithium-ion and semi-solid systems (US 11,804,603)</w:t>
      </w:r>
    </w:p>
    <w:p>
      <w:pPr>
        <w:pStyle w:val="ListParagraph"/>
        <w:numPr>
          <w:ilvl w:val="0"/>
          <w:numId w:val="2"/>
        </w:numPr>
        <w:spacing w:after="40" w:before="40"/>
      </w:pPr>
      <w:r>
        <w:rPr>
          <w:rFonts w:ascii="Arial" w:cs="Arial" w:eastAsia="Arial" w:hAnsi="Arial"/>
          <w:color w:val="000000"/>
          <w:sz w:val="22"/>
          <w:szCs w:val="22"/>
        </w:rPr>
        <w:t xml:space="preserve">Polymer solid electrolyte compositions</w:t>
      </w:r>
    </w:p>
    <w:p>
      <w:pPr>
        <w:pStyle w:val="ListParagraph"/>
        <w:numPr>
          <w:ilvl w:val="0"/>
          <w:numId w:val="2"/>
        </w:numPr>
        <w:spacing w:after="40" w:before="40"/>
      </w:pPr>
      <w:r>
        <w:rPr>
          <w:rFonts w:ascii="Arial" w:cs="Arial" w:eastAsia="Arial" w:hAnsi="Arial"/>
          <w:color w:val="000000"/>
          <w:sz w:val="22"/>
          <w:szCs w:val="22"/>
        </w:rPr>
        <w:t xml:space="preserve">Free-standing sulfide solid electrolyte membranes without scaffold layer — claimed to deliver 40%+ higher conductivity versus scaffold-supported membranes</w:t>
      </w:r>
    </w:p>
    <w:p>
      <w:pPr>
        <w:pStyle w:val="ListParagraph"/>
        <w:numPr>
          <w:ilvl w:val="0"/>
          <w:numId w:val="2"/>
        </w:numPr>
        <w:spacing w:after="40" w:before="40"/>
      </w:pPr>
      <w:r>
        <w:rPr>
          <w:rFonts w:ascii="Arial" w:cs="Arial" w:eastAsia="Arial" w:hAnsi="Arial"/>
          <w:color w:val="000000"/>
          <w:sz w:val="22"/>
          <w:szCs w:val="22"/>
        </w:rPr>
        <w:t xml:space="preserve">Flexible sulfide solid electrolyte membrane architectures</w:t>
      </w:r>
    </w:p>
    <w:p>
      <w:pPr>
        <w:spacing w:after="40" w:before="60"/>
      </w:pPr>
    </w:p>
    <w:p>
      <w:pPr>
        <w:spacing w:after="60" w:before="60"/>
      </w:pPr>
      <w:r>
        <w:rPr>
          <w:rFonts w:ascii="Arial" w:cs="Arial" w:eastAsia="Arial" w:hAnsi="Arial"/>
          <w:b w:val="false"/>
          <w:bCs w:val="false"/>
          <w:i w:val="false"/>
          <w:iCs w:val="false"/>
          <w:color w:val="000000"/>
          <w:sz w:val="22"/>
          <w:szCs w:val="22"/>
        </w:rPr>
        <w:t xml:space="preserve">The IP base appears technically relevant and defensible. The primary question is not whether the IP exists, but whether it translates into manufacturable, cost-competitive economics at automotive scale. That question will only be answered through production programmes, not patent filings.</w:t>
      </w:r>
    </w:p>
    <w:p>
      <w:pPr>
        <w:spacing w:after="40" w:before="120"/>
      </w:pPr>
    </w:p>
    <w:p>
      <w:pPr>
        <w:pStyle w:val="Heading2"/>
        <w:spacing w:after="120" w:before="240"/>
      </w:pPr>
      <w:r>
        <w:rPr>
          <w:rFonts w:ascii="Arial" w:cs="Arial" w:eastAsia="Arial" w:hAnsi="Arial"/>
          <w:b/>
          <w:bCs/>
          <w:color w:val="2E4E7A"/>
          <w:sz w:val="28"/>
          <w:szCs w:val="28"/>
        </w:rPr>
        <w:t xml:space="preserve">9.2  Management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4680"/>
      </w:tblGrid>
      <w:tr>
        <w:tc>
          <w:tcPr>
            <w:tcW w:type="dxa" w:w="216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Name</w:t>
            </w:r>
          </w:p>
        </w:tc>
        <w:tc>
          <w:tcPr>
            <w:tcW w:type="dxa" w:w="252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Role</w:t>
            </w:r>
          </w:p>
        </w:tc>
        <w:tc>
          <w:tcPr>
            <w:tcW w:type="dxa" w:w="4680"/>
            <w:tcBorders>
              <w:top w:val="single" w:color="B0C4D8" w:sz="1"/>
              <w:left w:val="single" w:color="B0C4D8" w:sz="1"/>
              <w:bottom w:val="single" w:color="B0C4D8" w:sz="1"/>
              <w:right w:val="single" w:color="B0C4D8" w:sz="1"/>
            </w:tcBorders>
            <w:shd w:fill="EEF2F8" w:val="clear"/>
            <w:tcMar>
              <w:top w:type="dxa" w:w="80"/>
              <w:left w:type="dxa" w:w="160"/>
              <w:bottom w:type="dxa" w:w="80"/>
              <w:right w:type="dxa" w:w="160"/>
            </w:tcMar>
            <w:vAlign w:val="center"/>
          </w:tcPr>
          <w:p>
            <w:r>
              <w:rPr>
                <w:rFonts w:ascii="Arial" w:cs="Arial" w:eastAsia="Arial" w:hAnsi="Arial"/>
                <w:b/>
                <w:bCs/>
                <w:color w:val="1B2A4A"/>
                <w:sz w:val="22"/>
                <w:szCs w:val="22"/>
              </w:rPr>
              <w:t xml:space="preserve">Background</w:t>
            </w:r>
          </w:p>
        </w:tc>
      </w:tr>
      <w:tr>
        <w:tc>
          <w:tcPr>
            <w:tcW w:type="dxa" w:w="216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bCs/>
                <w:color w:val="1B2A4A"/>
                <w:sz w:val="21"/>
                <w:szCs w:val="21"/>
              </w:rPr>
              <w:t xml:space="preserve">Siyu Huang</w:t>
            </w:r>
          </w:p>
        </w:tc>
        <w:tc>
          <w:tcPr>
            <w:tcW w:type="dxa" w:w="252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Co-Founder &amp; CEO</w:t>
            </w:r>
          </w:p>
        </w:tc>
        <w:tc>
          <w:tcPr>
            <w:tcW w:type="dxa" w:w="46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Lead founder. Battery chemistry expertise. Managed the company through OEM partnership development and the SPAC process.</w:t>
            </w:r>
          </w:p>
        </w:tc>
      </w:tr>
      <w:tr>
        <w:tc>
          <w:tcPr>
            <w:tcW w:type="dxa" w:w="216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bCs/>
                <w:color w:val="1B2A4A"/>
                <w:sz w:val="21"/>
                <w:szCs w:val="21"/>
              </w:rPr>
              <w:t xml:space="preserve">Alex Yu</w:t>
            </w:r>
          </w:p>
        </w:tc>
        <w:tc>
          <w:tcPr>
            <w:tcW w:type="dxa" w:w="252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Co-Founder &amp; CTO</w:t>
            </w:r>
          </w:p>
        </w:tc>
        <w:tc>
          <w:tcPr>
            <w:tcW w:type="dxa" w:w="46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Technical co-founder. Core IP development. FEST and Solstice platform architecture.</w:t>
            </w:r>
          </w:p>
        </w:tc>
      </w:tr>
      <w:tr>
        <w:tc>
          <w:tcPr>
            <w:tcW w:type="dxa" w:w="216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bCs/>
                <w:color w:val="1B2A4A"/>
                <w:sz w:val="21"/>
                <w:szCs w:val="21"/>
              </w:rPr>
              <w:t xml:space="preserve">Joe Taylor</w:t>
            </w:r>
          </w:p>
        </w:tc>
        <w:tc>
          <w:tcPr>
            <w:tcW w:type="dxa" w:w="252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Executive Chairman</w:t>
            </w:r>
          </w:p>
        </w:tc>
        <w:tc>
          <w:tcPr>
            <w:tcW w:type="dxa" w:w="46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Former Chairman and CEO of Panasonic North America. Deep automotive supply chain and battery industry relationships. Highly relevant to OEM commercialisation.</w:t>
            </w:r>
          </w:p>
        </w:tc>
      </w:tr>
      <w:tr>
        <w:tc>
          <w:tcPr>
            <w:tcW w:type="dxa" w:w="216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bCs/>
                <w:color w:val="1B2A4A"/>
                <w:sz w:val="21"/>
                <w:szCs w:val="21"/>
              </w:rPr>
              <w:t xml:space="preserve">Dieter Zetsche</w:t>
            </w:r>
          </w:p>
        </w:tc>
        <w:tc>
          <w:tcPr>
            <w:tcW w:type="dxa" w:w="252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Board Member</w:t>
            </w:r>
          </w:p>
        </w:tc>
        <w:tc>
          <w:tcPr>
            <w:tcW w:type="dxa" w:w="46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Former Chairman of Daimler AG and CEO of Mercedes-Benz. Direct strategic relevance to the Mercedes partnership and EV OEM decision-making processes.</w:t>
            </w:r>
          </w:p>
        </w:tc>
      </w:tr>
      <w:tr>
        <w:tc>
          <w:tcPr>
            <w:tcW w:type="dxa" w:w="216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Héctor Abruña</w:t>
            </w:r>
          </w:p>
        </w:tc>
        <w:tc>
          <w:tcPr>
            <w:tcW w:type="dxa" w:w="252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Adviser</w:t>
            </w:r>
          </w:p>
        </w:tc>
        <w:tc>
          <w:tcPr>
            <w:tcW w:type="dxa" w:w="4680"/>
            <w:tcBorders>
              <w:top w:val="single" w:color="B0C4D8" w:sz="1"/>
              <w:left w:val="single" w:color="B0C4D8" w:sz="1"/>
              <w:bottom w:val="single" w:color="B0C4D8" w:sz="1"/>
              <w:right w:val="single" w:color="B0C4D8" w:sz="1"/>
            </w:tcBorders>
            <w:shd w:fill="F5F7FA" w:val="clear"/>
            <w:tcMar>
              <w:top w:type="dxa" w:w="80"/>
              <w:left w:type="dxa" w:w="160"/>
              <w:bottom w:type="dxa" w:w="80"/>
              <w:right w:type="dxa" w:w="160"/>
            </w:tcMar>
          </w:tcPr>
          <w:p>
            <w:r>
              <w:rPr>
                <w:rFonts w:ascii="Arial" w:cs="Arial" w:eastAsia="Arial" w:hAnsi="Arial"/>
                <w:b w:val="false"/>
                <w:bCs w:val="false"/>
                <w:color w:val="000000"/>
                <w:sz w:val="21"/>
                <w:szCs w:val="21"/>
              </w:rPr>
              <w:t xml:space="preserve">Cornell University electrochemistry. Scientific advisory depth.</w:t>
            </w:r>
          </w:p>
        </w:tc>
      </w:tr>
      <w:tr>
        <w:tc>
          <w:tcPr>
            <w:tcW w:type="dxa" w:w="216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bCs/>
                <w:color w:val="7A4F00"/>
                <w:sz w:val="21"/>
                <w:szCs w:val="21"/>
              </w:rPr>
              <w:t xml:space="preserve">Finance leadership</w:t>
            </w:r>
          </w:p>
        </w:tc>
        <w:tc>
          <w:tcPr>
            <w:tcW w:type="dxa" w:w="252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7A4F00"/>
                <w:sz w:val="21"/>
                <w:szCs w:val="21"/>
              </w:rPr>
              <w:t xml:space="preserve">Head of Finance (unnamed CFO)</w:t>
            </w:r>
          </w:p>
        </w:tc>
        <w:tc>
          <w:tcPr>
            <w:tcW w:type="dxa" w:w="4680"/>
            <w:tcBorders>
              <w:top w:val="single" w:color="B0C4D8" w:sz="1"/>
              <w:left w:val="single" w:color="B0C4D8" w:sz="1"/>
              <w:bottom w:val="single" w:color="B0C4D8" w:sz="1"/>
              <w:right w:val="single" w:color="B0C4D8" w:sz="1"/>
            </w:tcBorders>
            <w:shd w:fill="FFFFFF" w:val="clear"/>
            <w:tcMar>
              <w:top w:type="dxa" w:w="80"/>
              <w:left w:type="dxa" w:w="160"/>
              <w:bottom w:type="dxa" w:w="80"/>
              <w:right w:type="dxa" w:w="160"/>
            </w:tcMar>
          </w:tcPr>
          <w:p>
            <w:r>
              <w:rPr>
                <w:rFonts w:ascii="Arial" w:cs="Arial" w:eastAsia="Arial" w:hAnsi="Arial"/>
                <w:b w:val="false"/>
                <w:bCs w:val="false"/>
                <w:color w:val="7A4F00"/>
                <w:sz w:val="21"/>
                <w:szCs w:val="21"/>
              </w:rPr>
              <w:t xml:space="preserve">Yellow flag: Emlen Fischer joined as CFO in 2023 and returned to Centerview in 2025. Latest investor materials list Jay Scuteri as Head of Finance without a named CFO. Worth monitoring post-close.</w:t>
            </w:r>
          </w:p>
        </w:tc>
      </w:tr>
    </w:tbl>
    <w:p>
      <w:pPr>
        <w:spacing w:after="0" w:before="120"/>
      </w:pPr>
    </w:p>
    <w:p>
      <w:r>
        <w:br w:type="page"/>
      </w:r>
    </w:p>
    <w:p>
      <w:pPr>
        <w:pStyle w:val="Heading1"/>
        <w:spacing w:after="160" w:before="320"/>
      </w:pPr>
      <w:r>
        <w:rPr>
          <w:rFonts w:ascii="Arial" w:cs="Arial" w:eastAsia="Arial" w:hAnsi="Arial"/>
          <w:b/>
          <w:bCs/>
          <w:color w:val="1B2A4A"/>
          <w:sz w:val="36"/>
          <w:szCs w:val="36"/>
        </w:rPr>
        <w:t xml:space="preserve">10. Important Notices</w:t>
      </w:r>
    </w:p>
    <w:p>
      <w:pPr>
        <w:pBdr>
          <w:bottom w:val="single" w:color="2E4E7A" w:sz="6" w:space="1"/>
        </w:pBdr>
      </w:pPr>
    </w:p>
    <w:p>
      <w:pPr>
        <w:spacing w:after="40" w:before="80"/>
      </w:pPr>
    </w:p>
    <w:p>
      <w:pPr>
        <w:spacing w:after="60" w:before="60"/>
      </w:pPr>
      <w:r>
        <w:rPr>
          <w:rFonts w:ascii="Arial" w:cs="Arial" w:eastAsia="Arial" w:hAnsi="Arial"/>
          <w:b w:val="false"/>
          <w:bCs w:val="false"/>
          <w:i w:val="false"/>
          <w:iCs w:val="false"/>
          <w:color w:val="000000"/>
          <w:sz w:val="22"/>
          <w:szCs w:val="22"/>
        </w:rPr>
        <w:t xml:space="preserve">This document has been prepared for analytical and discussion purposes only. It does not constitute investment advice, a solicitation to buy or sell any security, or a recommendation by any regulated entity.</w:t>
      </w:r>
    </w:p>
    <w:p>
      <w:pPr>
        <w:spacing w:after="40" w:before="60"/>
      </w:pPr>
    </w:p>
    <w:p>
      <w:pPr>
        <w:spacing w:after="60" w:before="60"/>
      </w:pPr>
      <w:r>
        <w:rPr>
          <w:rFonts w:ascii="Arial" w:cs="Arial" w:eastAsia="Arial" w:hAnsi="Arial"/>
          <w:b w:val="false"/>
          <w:bCs w:val="false"/>
          <w:i w:val="false"/>
          <w:iCs w:val="false"/>
          <w:color w:val="000000"/>
          <w:sz w:val="22"/>
          <w:szCs w:val="22"/>
        </w:rPr>
        <w:t xml:space="preserve">All financial data is sourced from publicly available documents including the CGCT preliminary S-4 registration statement filed with the SEC on 26 March 2026, the CGCT Annual Report for the year ended 31 December 2025, and public company announcements. Data is presented as of 17 April 2026.</w:t>
      </w:r>
    </w:p>
    <w:p>
      <w:pPr>
        <w:spacing w:after="40" w:before="60"/>
      </w:pPr>
    </w:p>
    <w:p>
      <w:pPr>
        <w:spacing w:after="60" w:before="60"/>
      </w:pPr>
      <w:r>
        <w:rPr>
          <w:rFonts w:ascii="Arial" w:cs="Arial" w:eastAsia="Arial" w:hAnsi="Arial"/>
          <w:b w:val="false"/>
          <w:bCs w:val="false"/>
          <w:i w:val="false"/>
          <w:iCs w:val="false"/>
          <w:color w:val="000000"/>
          <w:sz w:val="22"/>
          <w:szCs w:val="22"/>
        </w:rPr>
        <w:t xml:space="preserve">Valuation scenarios, runway calculations, and scenario analyses are derived calculations based on disclosed figures. They are not forecasts and are subject to material uncertainty. Investment in pre-revenue development stage companies carries high risk of total loss. The SPAC trust floor described herein applies only to CGCT shares held prior to the close of the business combination and redeemed at trust value; it does not apply to FAC shares held post-close.</w:t>
      </w:r>
    </w:p>
    <w:p>
      <w:pPr>
        <w:spacing w:after="40" w:before="60"/>
      </w:pPr>
    </w:p>
    <w:p>
      <w:pPr>
        <w:spacing w:after="60" w:before="60"/>
      </w:pPr>
      <w:r>
        <w:rPr>
          <w:rFonts w:ascii="Arial" w:cs="Arial" w:eastAsia="Arial" w:hAnsi="Arial"/>
          <w:b w:val="false"/>
          <w:bCs w:val="false"/>
          <w:i w:val="false"/>
          <w:iCs w:val="false"/>
          <w:color w:val="000000"/>
          <w:sz w:val="22"/>
          <w:szCs w:val="22"/>
        </w:rPr>
        <w:t xml:space="preserve">Past performance of comparable companies is not indicative of future results. Solid-state battery technology involves significant scientific, manufacturing, regulatory and commercial risk. OEM validation of cell performance in test conditions does not guarantee successful commercialisation at production volumes.</w:t>
      </w:r>
    </w:p>
    <w:p>
      <w:pPr>
        <w:spacing w:after="40" w:before="60"/>
      </w:pPr>
    </w:p>
    <w:p>
      <w:pPr>
        <w:spacing w:after="60" w:before="60"/>
      </w:pPr>
      <w:r>
        <w:rPr>
          <w:rFonts w:ascii="Arial" w:cs="Arial" w:eastAsia="Arial" w:hAnsi="Arial"/>
          <w:b w:val="false"/>
          <w:bCs w:val="false"/>
          <w:i w:val="false"/>
          <w:iCs w:val="false"/>
          <w:color w:val="000000"/>
          <w:sz w:val="22"/>
          <w:szCs w:val="22"/>
        </w:rPr>
        <w:t xml:space="preserve">The Methuen facility exit (October 2025), the CFO departure, and the going concern language in Factorial’s standalone audited financials are material facts that any prospective investor should consider independently before making any investment decision.</w:t>
      </w:r>
    </w:p>
    <w:p>
      <w:pPr>
        <w:spacing w:after="40" w:before="60"/>
      </w:pPr>
    </w:p>
    <w:p>
      <w:pPr>
        <w:spacing w:after="60" w:before="60"/>
      </w:pPr>
      <w:r>
        <w:rPr>
          <w:rFonts w:ascii="Arial" w:cs="Arial" w:eastAsia="Arial" w:hAnsi="Arial"/>
          <w:b w:val="false"/>
          <w:bCs w:val="false"/>
          <w:i w:val="false"/>
          <w:iCs w:val="false"/>
          <w:color w:val="000000"/>
          <w:sz w:val="22"/>
          <w:szCs w:val="22"/>
        </w:rPr>
        <w:t xml:space="preserve">Independent legal, financial and tax advice should be sought before making any investment in any security referenced herein.</w:t>
      </w:r>
    </w:p>
    <w:p>
      <w:pPr>
        <w:spacing w:after="40" w:before="120"/>
      </w:pPr>
    </w:p>
    <w:p>
      <w:pPr>
        <w:pBdr>
          <w:bottom w:val="single" w:color="2E4E7A" w:sz="6" w:space="1"/>
        </w:pBdr>
      </w:pPr>
    </w:p>
    <w:p>
      <w:pPr>
        <w:spacing w:after="40" w:before="80"/>
      </w:pPr>
    </w:p>
    <w:p>
      <w:pPr>
        <w:jc w:val="center"/>
      </w:pPr>
      <w:r>
        <w:rPr>
          <w:rFonts w:ascii="Arial" w:cs="Arial" w:eastAsia="Arial" w:hAnsi="Arial"/>
          <w:i/>
          <w:iCs/>
          <w:color w:val="888888"/>
          <w:sz w:val="18"/>
          <w:szCs w:val="18"/>
        </w:rPr>
        <w:t xml:space="preserve">Factorial Energy / FAC  |  Investment Case  |  Prepared 17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1"/>
      </w:pBdr>
      <w:tabs>
        <w:tab w:val="right" w:pos="9360"/>
      </w:tabs>
      <w:spacing w:before="80"/>
    </w:pPr>
    <w:r>
      <w:rPr>
        <w:rFonts w:ascii="Arial" w:cs="Arial" w:eastAsia="Arial" w:hAnsi="Arial"/>
        <w:color w:val="888888"/>
        <w:sz w:val="16"/>
        <w:szCs w:val="16"/>
      </w:rPr>
      <w:t xml:space="preserve">For analytical and discussion purposes only. Not investment advice. Based on publicly available information.</w:t>
    </w:r>
    <w:r>
      <w:rPr>
        <w:rFonts w:ascii="Arial" w:cs="Arial" w:eastAsia="Arial" w:hAnsi="Arial"/>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1"/>
      </w:pBdr>
      <w:tabs>
        <w:tab w:val="right" w:pos="9360"/>
      </w:tabs>
      <w:spacing w:after="80"/>
    </w:pPr>
    <w:r>
      <w:rPr>
        <w:rFonts w:ascii="Arial" w:cs="Arial" w:eastAsia="Arial" w:hAnsi="Arial"/>
        <w:b/>
        <w:bCs/>
        <w:color w:val="2E4E7A"/>
        <w:sz w:val="18"/>
        <w:szCs w:val="18"/>
      </w:rPr>
      <w:t xml:space="preserve">FACTORIAL ENERGY / FAC  |  INVESTMENT CASE</w:t>
    </w:r>
    <w:r>
      <w:rPr>
        <w:rFonts w:ascii="Arial" w:cs="Arial" w:eastAsia="Arial" w:hAnsi="Arial"/>
        <w:sz w:val="18"/>
        <w:szCs w:val="18"/>
      </w:rPr>
      <w:t xml:space="preserve">	</w:t>
    </w:r>
    <w:r>
      <w:rPr>
        <w:rFonts w:ascii="Arial" w:cs="Arial" w:eastAsia="Arial" w:hAnsi="Arial"/>
        <w:i/>
        <w:iCs/>
        <w:color w:val="2E4E7A"/>
        <w:sz w:val="18"/>
        <w:szCs w:val="18"/>
      </w:rPr>
      <w:t xml:space="preserve">CONFIDENTIAL — 17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E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2026-04-17T11:13:04.690Z</dcterms:created>
  <dcterms:modified xsi:type="dcterms:W3CDTF">2026-04-17T11:13:04.691Z</dcterms:modified>
</cp:coreProperties>
</file>

<file path=docProps/custom.xml><?xml version="1.0" encoding="utf-8"?>
<Properties xmlns="http://schemas.openxmlformats.org/officeDocument/2006/custom-properties" xmlns:vt="http://schemas.openxmlformats.org/officeDocument/2006/docPropsVTypes"/>
</file>