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73" w:name="content"/>
    <w:bookmarkStart w:id="72" w:name="X8332898658efcd01d4024ba088565ad341b9ec8"/>
    <w:p>
      <w:pPr>
        <w:pStyle w:val="Heading1"/>
      </w:pPr>
      <w:r>
        <w:t xml:space="preserve">High-Risk US-Listed Portfolio Targeting a 40% Return by End‑2026</w:t>
      </w:r>
    </w:p>
    <w:bookmarkStart w:id="25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report builds a</w:t>
      </w:r>
      <w:r>
        <w:t xml:space="preserve"> </w:t>
      </w:r>
      <w:r>
        <w:rPr>
          <w:b/>
          <w:bCs/>
        </w:rPr>
        <w:t xml:space="preserve">US‑listed equity portfolio</w:t>
      </w:r>
      <w:r>
        <w:t xml:space="preserve"> </w:t>
      </w:r>
      <w:r>
        <w:t xml:space="preserve">(common stocks and US‑listed ADRs) structured as a</w:t>
      </w:r>
      <w:r>
        <w:t xml:space="preserve"> </w:t>
      </w:r>
      <w:r>
        <w:rPr>
          <w:b/>
          <w:bCs/>
        </w:rPr>
        <w:t xml:space="preserve">high‑risk/high‑reward exercise</w:t>
      </w:r>
      <w:r>
        <w:t xml:space="preserve">, with the explicit objective of turning</w:t>
      </w:r>
      <w:r>
        <w:t xml:space="preserve"> </w:t>
      </w:r>
      <w:r>
        <w:rPr>
          <w:b/>
          <w:bCs/>
        </w:rPr>
        <w:t xml:space="preserve">$50,000 into ~$70,000+ (~40% total return)</w:t>
      </w:r>
      <w:r>
        <w:t xml:space="preserve"> </w:t>
      </w:r>
      <w:r>
        <w:t xml:space="preserve">by</w:t>
      </w:r>
      <w:r>
        <w:t xml:space="preserve"> </w:t>
      </w:r>
      <w:r>
        <w:rPr>
          <w:b/>
          <w:bCs/>
        </w:rPr>
        <w:t xml:space="preserve">December 31, 2026</w:t>
      </w:r>
      <w:r>
        <w:t xml:space="preserve">. It is</w:t>
      </w:r>
      <w:r>
        <w:t xml:space="preserve"> </w:t>
      </w:r>
      <w:r>
        <w:rPr>
          <w:b/>
          <w:bCs/>
        </w:rPr>
        <w:t xml:space="preserve">research, not financial advice</w:t>
      </w:r>
      <w:r>
        <w:t xml:space="preserve">.</w:t>
      </w:r>
    </w:p>
    <w:p>
      <w:pPr>
        <w:pStyle w:val="BodyText"/>
      </w:pPr>
      <w:r>
        <w:t xml:space="preserve">The core macro premise is that the Iran/Hormuz conflict creates a</w:t>
      </w:r>
      <w:r>
        <w:t xml:space="preserve"> </w:t>
      </w:r>
      <w:r>
        <w:rPr>
          <w:b/>
          <w:bCs/>
        </w:rPr>
        <w:t xml:space="preserve">persistent “geopolitical risk premium”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real tail risk of shipping disruption</w:t>
      </w:r>
      <w:r>
        <w:t xml:space="preserve">, with</w:t>
      </w:r>
      <w:r>
        <w:t xml:space="preserve"> </w:t>
      </w:r>
      <w:r>
        <w:rPr>
          <w:b/>
          <w:bCs/>
        </w:rPr>
        <w:t xml:space="preserve">oil and LNG prices potentially staying elevated</w:t>
      </w:r>
      <w:r>
        <w:t xml:space="preserve"> </w:t>
      </w:r>
      <w:r>
        <w:t xml:space="preserve">even if some headlines “stabilize.” This is consistent with the</w:t>
      </w:r>
      <w:r>
        <w:t xml:space="preserve"> </w:t>
      </w:r>
      <w:r>
        <w:rPr>
          <w:b/>
          <w:bCs/>
        </w:rPr>
        <w:t xml:space="preserve">U.S. Energy Information Administration</w:t>
      </w:r>
      <w:r>
        <w:t xml:space="preserve"> </w:t>
      </w:r>
      <w:r>
        <w:t xml:space="preserve">highlighting Hormuz as a critical chokepoint with limited alternatives and with recent risk language in EIA’s Short‑Term Energy Outlook.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Recent reporting also describes sustained uncertainty over Hormuz access and oil‑market impacts.</w:t>
      </w:r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</w:p>
    <w:p>
      <w:pPr>
        <w:pStyle w:val="BodyText"/>
      </w:pPr>
      <w:r>
        <w:t xml:space="preserve">Portfolio construction therefore uses a</w:t>
      </w:r>
      <w:r>
        <w:t xml:space="preserve"> </w:t>
      </w:r>
      <w:r>
        <w:rPr>
          <w:b/>
          <w:bCs/>
        </w:rPr>
        <w:t xml:space="preserve">barbell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Energy security / supply‑risk beneficiaries</w:t>
      </w:r>
      <w:r>
        <w:t xml:space="preserve"> </w:t>
      </w:r>
      <w:r>
        <w:t xml:space="preserve">(cash‑flow torque if oil/gas stay high and if global buyers prioritize non‑Hormuz supply chains).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“Stabilization/risk‑on” cyclicals</w:t>
      </w:r>
      <w:r>
        <w:t xml:space="preserve"> </w:t>
      </w:r>
      <w:r>
        <w:t xml:space="preserve">(travel/aviation finance) that can re‑rate quickly if risk appetite improves—even if fuel remains high—because their economics are not a direct bet on gasoline falling.</w:t>
      </w:r>
    </w:p>
    <w:bookmarkStart w:id="23" w:name="highest-conviction-picks"/>
    <w:p>
      <w:pPr>
        <w:pStyle w:val="Heading3"/>
      </w:pPr>
      <w:r>
        <w:t xml:space="preserve">Highest-conviction picks</w:t>
      </w:r>
    </w:p>
    <w:p>
      <w:pPr>
        <w:pStyle w:val="FirstParagraph"/>
      </w:pPr>
      <w:r>
        <w:t xml:space="preserve">The top five are selected for</w:t>
      </w:r>
      <w:r>
        <w:t xml:space="preserve"> </w:t>
      </w:r>
      <w:r>
        <w:rPr>
          <w:b/>
          <w:bCs/>
        </w:rPr>
        <w:t xml:space="preserve">(a) liquid trading</w:t>
      </w:r>
      <w:r>
        <w:t xml:space="preserve">,</w:t>
      </w:r>
      <w:r>
        <w:t xml:space="preserve"> </w:t>
      </w:r>
      <w:r>
        <w:rPr>
          <w:b/>
          <w:bCs/>
        </w:rPr>
        <w:t xml:space="preserve">(b) credible 2026 catalysts</w:t>
      </w:r>
      <w:r>
        <w:t xml:space="preserve">,</w:t>
      </w:r>
      <w:r>
        <w:t xml:space="preserve"> </w:t>
      </w:r>
      <w:r>
        <w:rPr>
          <w:b/>
          <w:bCs/>
        </w:rPr>
        <w:t xml:space="preserve">(c) shareholder-return intensity</w:t>
      </w:r>
      <w:r>
        <w:t xml:space="preserve">, and</w:t>
      </w:r>
      <w:r>
        <w:t xml:space="preserve"> </w:t>
      </w:r>
      <w:r>
        <w:rPr>
          <w:b/>
          <w:bCs/>
        </w:rPr>
        <w:t xml:space="preserve">(d) survivability under “oil stays high” regimes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BKNG</w:t>
      </w:r>
      <w:r>
        <w:t xml:space="preserve"> </w:t>
      </w:r>
      <w:r>
        <w:t xml:space="preserve">(post‑split): high‑quality cash engine + massive repurchase authorization + “risk‑on” re‑rating lever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LNG</w:t>
      </w:r>
      <w:r>
        <w:t xml:space="preserve">: LNG infrastructure + buyback step‑change + permitting/expansion catalysts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OXY</w:t>
      </w:r>
      <w:r>
        <w:t xml:space="preserve">: commodity torque + balance‑sheet repair already in motion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AER</w:t>
      </w:r>
      <w:r>
        <w:t xml:space="preserve">: deep value + shrinking share count + strong capital returns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BKR</w:t>
      </w:r>
      <w:r>
        <w:t xml:space="preserve">: “picks‑and‑shovels” for energy capex + explicit share-count decline in filings</w:t>
      </w:r>
    </w:p>
    <w:p>
      <w:pPr>
        <w:pStyle w:val="BodyText"/>
      </w:pPr>
      <w:r>
        <w:t xml:space="preserve">These five are also the portfolio’s main drivers for reaching the 40% objective.</w:t>
      </w:r>
    </w:p>
    <w:bookmarkEnd w:id="23"/>
    <w:bookmarkStart w:id="24" w:name="target-return-math-scenario-based"/>
    <w:p>
      <w:pPr>
        <w:pStyle w:val="Heading3"/>
      </w:pPr>
      <w:r>
        <w:t xml:space="preserve">Target-return math (scenario-based)</w:t>
      </w:r>
    </w:p>
    <w:p>
      <w:pPr>
        <w:pStyle w:val="FirstParagraph"/>
      </w:pPr>
      <w:r>
        <w:t xml:space="preserve">Using current prices captured in this research and</w:t>
      </w:r>
      <w:r>
        <w:t xml:space="preserve"> </w:t>
      </w:r>
      <w:r>
        <w:rPr>
          <w:b/>
          <w:bCs/>
        </w:rPr>
        <w:t xml:space="preserve">explicit end‑2026 target prices</w:t>
      </w:r>
      <w:r>
        <w:t xml:space="preserve"> </w:t>
      </w:r>
      <w:r>
        <w:t xml:space="preserve">(details below), the portfolio is designed for an</w:t>
      </w:r>
      <w:r>
        <w:t xml:space="preserve"> </w:t>
      </w:r>
      <w:r>
        <w:rPr>
          <w:b/>
          <w:bCs/>
        </w:rPr>
        <w:t xml:space="preserve">~44% weighted target upside</w:t>
      </w:r>
      <w:r>
        <w:t xml:space="preserve">—i.e.,</w:t>
      </w:r>
      <w:r>
        <w:t xml:space="preserve"> </w:t>
      </w:r>
      <w:r>
        <w:rPr>
          <w:b/>
          <w:bCs/>
        </w:rPr>
        <w:t xml:space="preserve">enough headroom</w:t>
      </w:r>
      <w:r>
        <w:t xml:space="preserve"> </w:t>
      </w:r>
      <w:r>
        <w:t xml:space="preserve">that you can still miss one or two targets and remain in range, assuming risk controls reduce catastrophic drawdowns.</w:t>
      </w:r>
    </w:p>
    <w:bookmarkEnd w:id="24"/>
    <w:bookmarkEnd w:id="25"/>
    <w:bookmarkStart w:id="31" w:name="macro-backdrop-and-explicit-assumptions"/>
    <w:p>
      <w:pPr>
        <w:pStyle w:val="Heading2"/>
      </w:pPr>
      <w:r>
        <w:t xml:space="preserve">Macro backdrop and explicit assumptions</w:t>
      </w:r>
    </w:p>
    <w:bookmarkStart w:id="29" w:name="Xd0eed39d891173b722d39cb56b82fb8021be818"/>
    <w:p>
      <w:pPr>
        <w:pStyle w:val="Heading3"/>
      </w:pPr>
      <w:r>
        <w:t xml:space="preserve">What matters about Hormuz even if oil does not fall</w:t>
      </w:r>
    </w:p>
    <w:p>
      <w:pPr>
        <w:pStyle w:val="FirstParagraph"/>
      </w:pPr>
      <w:r>
        <w:t xml:space="preserve">The investment case explicitly assumes</w:t>
      </w:r>
      <w:r>
        <w:t xml:space="preserve"> </w:t>
      </w:r>
      <w:r>
        <w:rPr>
          <w:b/>
          <w:bCs/>
        </w:rPr>
        <w:t xml:space="preserve">oil and gas prices may remain high</w:t>
      </w:r>
      <w:r>
        <w:t xml:space="preserve"> </w:t>
      </w:r>
      <w:r>
        <w:t xml:space="preserve">(or volatile) through 2026 because</w:t>
      </w:r>
      <w:r>
        <w:t xml:space="preserve"> </w:t>
      </w:r>
      <w:r>
        <w:rPr>
          <w:b/>
          <w:bCs/>
        </w:rPr>
        <w:t xml:space="preserve">Hormuz is structurally important</w:t>
      </w:r>
      <w:r>
        <w:t xml:space="preserve"> </w:t>
      </w:r>
      <w:r>
        <w:t xml:space="preserve">and rerouting capacity is limited.</w:t>
      </w:r>
    </w:p>
    <w:p>
      <w:pPr>
        <w:pStyle w:val="BodyText"/>
      </w:pPr>
      <w:r>
        <w:t xml:space="preserve">Key “load-bearing” facts from EIA:</w:t>
      </w:r>
      <w:r>
        <w:t xml:space="preserve"> </w:t>
      </w:r>
      <w:r>
        <w:t xml:space="preserve">- EIA repeatedly characterizes Hormuz as a</w:t>
      </w:r>
      <w:r>
        <w:t xml:space="preserve"> </w:t>
      </w:r>
      <w:r>
        <w:rPr>
          <w:b/>
          <w:bCs/>
        </w:rPr>
        <w:t xml:space="preserve">critical chokepoint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few alternative export routes</w:t>
      </w:r>
      <w:r>
        <w:t xml:space="preserve"> </w:t>
      </w:r>
      <w:r>
        <w:t xml:space="preserve">if disrupted.</w:t>
      </w:r>
      <w:r>
        <w:t xml:space="preserve"> </w:t>
      </w:r>
      <w:hyperlink r:id="rId21">
        <w:r>
          <w:rPr>
            <w:rStyle w:val="Hyperlink"/>
          </w:rPr>
          <w:t xml:space="preserve">[3]</w:t>
        </w:r>
      </w:hyperlink>
      <w:r>
        <w:br/>
      </w:r>
      <w:r>
        <w:t xml:space="preserve">- In 2024,</w:t>
      </w:r>
      <w:r>
        <w:t xml:space="preserve"> </w:t>
      </w:r>
      <w:r>
        <w:rPr>
          <w:b/>
          <w:bCs/>
        </w:rPr>
        <w:t xml:space="preserve">about 20% of global LNG trade</w:t>
      </w:r>
      <w:r>
        <w:t xml:space="preserve"> </w:t>
      </w:r>
      <w:r>
        <w:t xml:space="preserve">transited Hormuz (largely Qatar).</w:t>
      </w:r>
      <w:r>
        <w:t xml:space="preserve"> </w:t>
      </w:r>
      <w:hyperlink r:id="rId26">
        <w:r>
          <w:rPr>
            <w:rStyle w:val="Hyperlink"/>
          </w:rPr>
          <w:t xml:space="preserve">[4]</w:t>
        </w:r>
      </w:hyperlink>
      <w:r>
        <w:br/>
      </w:r>
      <w:r>
        <w:t xml:space="preserve">- EIA also links rising oil-price risk to an extended Hormuz disruption; its Short‑Term Energy Outlook explicitly flags extended closure risk and notes insurance/cancellation dynamics discouraging tanker transits.</w:t>
      </w:r>
      <w:r>
        <w:t xml:space="preserve"> </w:t>
      </w:r>
      <w:hyperlink r:id="rId27">
        <w:r>
          <w:rPr>
            <w:rStyle w:val="Hyperlink"/>
          </w:rPr>
          <w:t xml:space="preserve">[5]</w:t>
        </w:r>
      </w:hyperlink>
    </w:p>
    <w:p>
      <w:pPr>
        <w:pStyle w:val="BodyText"/>
      </w:pPr>
      <w:r>
        <w:t xml:space="preserve">Recent market framing points in the same direction:</w:t>
      </w:r>
      <w:r>
        <w:t xml:space="preserve"> </w:t>
      </w:r>
      <w:r>
        <w:t xml:space="preserve">- A Reuters poll described a sharp upward revision to 2026 oil forecasts amid war-driven disruption risk and noted “if the Strait remains closed” type scenarios can become extreme.</w:t>
      </w:r>
      <w:r>
        <w:t xml:space="preserve"> </w:t>
      </w:r>
      <w:hyperlink r:id="rId28">
        <w:r>
          <w:rPr>
            <w:rStyle w:val="Hyperlink"/>
          </w:rPr>
          <w:t xml:space="preserve">[6]</w:t>
        </w:r>
      </w:hyperlink>
      <w:r>
        <w:br/>
      </w:r>
      <w:r>
        <w:t xml:space="preserve">- Another Reuters report (April 2026) describes intelligence suggesting Iran may be unlikely to loosen control soon, reinforcing the idea that “headline stabilization” may not mean “risk premium disappears.”</w:t>
      </w:r>
      <w:r>
        <w:t xml:space="preserve"> </w:t>
      </w:r>
      <w:hyperlink r:id="rId22">
        <w:r>
          <w:rPr>
            <w:rStyle w:val="Hyperlink"/>
          </w:rPr>
          <w:t xml:space="preserve">[7]</w:t>
        </w:r>
      </w:hyperlink>
    </w:p>
    <w:bookmarkEnd w:id="29"/>
    <w:bookmarkStart w:id="30" w:name="Xf22eff3e36d332ebc3558e2d83bc15bb4040f13"/>
    <w:p>
      <w:pPr>
        <w:pStyle w:val="Heading3"/>
      </w:pPr>
      <w:r>
        <w:t xml:space="preserve">Assumptions used to build price targets and risk rules</w:t>
      </w:r>
    </w:p>
    <w:p>
      <w:pPr>
        <w:pStyle w:val="FirstParagraph"/>
      </w:pPr>
      <w:r>
        <w:t xml:space="preserve">Assumptions are explicit because the goal is high return in a short window: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Conflict risk persists</w:t>
      </w:r>
      <w:r>
        <w:t xml:space="preserve"> </w:t>
      </w:r>
      <w:r>
        <w:t xml:space="preserve">(including stop‑start negotiations and periodic escalation headlines).</w:t>
      </w:r>
      <w:r>
        <w:t xml:space="preserve"> </w:t>
      </w:r>
      <w:hyperlink r:id="rId22">
        <w:r>
          <w:rPr>
            <w:rStyle w:val="Hyperlink"/>
          </w:rPr>
          <w:t xml:space="preserve">[8]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Oil may remain high or volatile</w:t>
      </w:r>
      <w:r>
        <w:t xml:space="preserve"> </w:t>
      </w:r>
      <w:r>
        <w:t xml:space="preserve">through end‑2026; we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assume a return to pre‑war price levels.</w:t>
      </w:r>
      <w:r>
        <w:t xml:space="preserve"> </w:t>
      </w:r>
      <w:hyperlink r:id="rId28">
        <w:r>
          <w:rPr>
            <w:rStyle w:val="Hyperlink"/>
          </w:rPr>
          <w:t xml:space="preserve">[9]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Risk assets remain headline‑sensitive</w:t>
      </w:r>
      <w:r>
        <w:t xml:space="preserve">: fast drawdowns and fast squeezes; volatility is a feature, not a bug (portfolio uses position sizing/stop rules accordingly).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Liquidity</w:t>
      </w:r>
      <w:r>
        <w:t xml:space="preserve"> </w:t>
      </w:r>
      <w:r>
        <w:t xml:space="preserve">is prioritized: all names are large‑cap or actively traded US‑listed equities/ADRs (no microcaps).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Target prices are scenario-based</w:t>
      </w:r>
      <w:r>
        <w:t xml:space="preserve">, derived from a mix of</w:t>
      </w:r>
      <w:r>
        <w:t xml:space="preserve"> </w:t>
      </w:r>
      <w:r>
        <w:rPr>
          <w:b/>
          <w:bCs/>
        </w:rPr>
        <w:t xml:space="preserve">multiple re‑rating</w:t>
      </w:r>
      <w:r>
        <w:t xml:space="preserve">,</w:t>
      </w:r>
      <w:r>
        <w:t xml:space="preserve"> </w:t>
      </w:r>
      <w:r>
        <w:rPr>
          <w:b/>
          <w:bCs/>
        </w:rPr>
        <w:t xml:space="preserve">cash return</w:t>
      </w:r>
      <w:r>
        <w:t xml:space="preserve">, and</w:t>
      </w:r>
      <w:r>
        <w:t xml:space="preserve"> </w:t>
      </w:r>
      <w:r>
        <w:rPr>
          <w:b/>
          <w:bCs/>
        </w:rPr>
        <w:t xml:space="preserve">catalyst execution</w:t>
      </w:r>
      <w:r>
        <w:t xml:space="preserve">; they are not predictions.</w:t>
      </w:r>
    </w:p>
    <w:bookmarkEnd w:id="30"/>
    <w:bookmarkEnd w:id="31"/>
    <w:bookmarkStart w:id="34" w:name="portfolio-construction-and-risk-controls"/>
    <w:p>
      <w:pPr>
        <w:pStyle w:val="Heading2"/>
      </w:pPr>
      <w:r>
        <w:t xml:space="preserve">Portfolio construction and risk controls</w:t>
      </w:r>
    </w:p>
    <w:bookmarkStart w:id="32" w:name="portfolio-structure"/>
    <w:p>
      <w:pPr>
        <w:pStyle w:val="Heading3"/>
      </w:pPr>
      <w:r>
        <w:t xml:space="preserve">Portfolio structure</w:t>
      </w:r>
    </w:p>
    <w:p>
      <w:pPr>
        <w:pStyle w:val="FirstParagraph"/>
      </w:pPr>
      <w:r>
        <w:t xml:space="preserve">The proposed mix deliberately avoids a single macro bet: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Energy &amp; energy-adjacent cash flow torque:</w:t>
      </w:r>
      <w:r>
        <w:t xml:space="preserve"> </w:t>
      </w:r>
      <w:r>
        <w:t xml:space="preserve">OXY, LNG, BKR, STNG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Stabilization beneficiaries (travel/aviation):</w:t>
      </w:r>
      <w:r>
        <w:t xml:space="preserve"> </w:t>
      </w:r>
      <w:r>
        <w:t xml:space="preserve">BKNG, AER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Defense/AI optionality / risk-on:</w:t>
      </w:r>
      <w:r>
        <w:t xml:space="preserve"> </w:t>
      </w:r>
      <w:r>
        <w:t xml:space="preserve">RTX, NVDA, PLTR</w:t>
      </w:r>
    </w:p>
    <w:p>
      <w:pPr>
        <w:pStyle w:val="BodyText"/>
      </w:pPr>
      <w:r>
        <w:t xml:space="preserve">This approach tries to</w:t>
      </w:r>
      <w:r>
        <w:t xml:space="preserve"> </w:t>
      </w:r>
      <w:r>
        <w:rPr>
          <w:b/>
          <w:bCs/>
        </w:rPr>
        <w:t xml:space="preserve">win in multiple paths</w:t>
      </w:r>
      <w:r>
        <w:t xml:space="preserve">:</w:t>
      </w:r>
      <w:r>
        <w:t xml:space="preserve"> </w:t>
      </w:r>
      <w:r>
        <w:t xml:space="preserve">- If Hormuz risk persists → energy and shipping can hold portfolio value while cyclicals chop.</w:t>
      </w:r>
      <w:r>
        <w:t xml:space="preserve"> </w:t>
      </w:r>
      <w:r>
        <w:t xml:space="preserve">- If risk appetite returns without oil collapsing → cyclicals and “quality growth” can re‑rate.</w:t>
      </w:r>
    </w:p>
    <w:bookmarkEnd w:id="32"/>
    <w:bookmarkStart w:id="33" w:name="position-sizing-and-stop-framework"/>
    <w:p>
      <w:pPr>
        <w:pStyle w:val="Heading3"/>
      </w:pPr>
      <w:r>
        <w:t xml:space="preserve">Position sizing and stop framework</w:t>
      </w:r>
    </w:p>
    <w:p>
      <w:pPr>
        <w:pStyle w:val="FirstParagraph"/>
      </w:pPr>
      <w:r>
        <w:t xml:space="preserve">A high-return target demands rules that prevent one bad tape from wrecking the fund.</w:t>
      </w:r>
    </w:p>
    <w:p>
      <w:pPr>
        <w:pStyle w:val="BodyText"/>
      </w:pPr>
      <w:r>
        <w:rPr>
          <w:b/>
          <w:bCs/>
        </w:rPr>
        <w:t xml:space="preserve">Portfolio-level guardrails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Max portfolio drawdown trigger:</w:t>
      </w:r>
      <w:r>
        <w:t xml:space="preserve"> </w:t>
      </w:r>
      <w:r>
        <w:t xml:space="preserve">If equity falls</w:t>
      </w:r>
      <w:r>
        <w:t xml:space="preserve"> </w:t>
      </w:r>
      <w:r>
        <w:rPr>
          <w:b/>
          <w:bCs/>
        </w:rPr>
        <w:t xml:space="preserve">&gt;15% from peak</w:t>
      </w:r>
      <w:r>
        <w:t xml:space="preserve">, reduce gross exposure by</w:t>
      </w:r>
      <w:r>
        <w:t xml:space="preserve"> </w:t>
      </w:r>
      <w:r>
        <w:rPr>
          <w:b/>
          <w:bCs/>
        </w:rPr>
        <w:t xml:space="preserve">25–40%</w:t>
      </w:r>
      <w:r>
        <w:t xml:space="preserve"> </w:t>
      </w:r>
      <w:r>
        <w:t xml:space="preserve">(sell weakest names / highest valuation first) and tighten stops.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Cash is allowed tactically</w:t>
      </w:r>
      <w:r>
        <w:t xml:space="preserve"> </w:t>
      </w:r>
      <w:r>
        <w:t xml:space="preserve">(even if “portfolio” is equity-based): the fastest way to lose 40% upside potential is to get liquidated by a drawdown early.</w:t>
      </w:r>
    </w:p>
    <w:p>
      <w:pPr>
        <w:pStyle w:val="BodyText"/>
      </w:pPr>
      <w:r>
        <w:rPr>
          <w:b/>
          <w:bCs/>
        </w:rPr>
        <w:t xml:space="preserve">Per-position risk rule (position sizing)</w:t>
      </w:r>
      <w:r>
        <w:t xml:space="preserve"> </w:t>
      </w:r>
      <w:r>
        <w:t xml:space="preserve">- Risk no more than</w:t>
      </w:r>
      <w:r>
        <w:t xml:space="preserve"> </w:t>
      </w:r>
      <w:r>
        <w:rPr>
          <w:b/>
          <w:bCs/>
        </w:rPr>
        <w:t xml:space="preserve">~1% of fund per position</w:t>
      </w:r>
      <w:r>
        <w:t xml:space="preserve"> </w:t>
      </w:r>
      <w:r>
        <w:t xml:space="preserve">at the initial stop (≈</w:t>
      </w:r>
      <w:r>
        <w:t xml:space="preserve"> </w:t>
      </w:r>
      <w:r>
        <w:rPr>
          <w:b/>
          <w:bCs/>
        </w:rPr>
        <w:t xml:space="preserve">$500</w:t>
      </w:r>
      <w:r>
        <w:t xml:space="preserve"> </w:t>
      </w:r>
      <w:r>
        <w:t xml:space="preserve">on a $50k fund).</w:t>
      </w:r>
      <w:r>
        <w:t xml:space="preserve"> </w:t>
      </w:r>
      <w:r>
        <w:t xml:space="preserve">- Shares = (Dollar risk) ÷ (Entry price − Stop price).</w:t>
      </w:r>
      <w:r>
        <w:br/>
      </w:r>
      <w:r>
        <w:t xml:space="preserve">- Volatility-aware: higher-beta names (PLTR, NVDA, STNG) get</w:t>
      </w:r>
      <w:r>
        <w:t xml:space="preserve"> </w:t>
      </w:r>
      <w:r>
        <w:rPr>
          <w:b/>
          <w:bCs/>
        </w:rPr>
        <w:t xml:space="preserve">wider stops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smaller share count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Stop logic</w:t>
      </w:r>
      <w:r>
        <w:t xml:space="preserve"> </w:t>
      </w:r>
      <w:r>
        <w:t xml:space="preserve">- Use</w:t>
      </w:r>
      <w:r>
        <w:t xml:space="preserve"> </w:t>
      </w:r>
      <w:r>
        <w:rPr>
          <w:b/>
          <w:bCs/>
        </w:rPr>
        <w:t xml:space="preserve">closing-price stops</w:t>
      </w:r>
      <w:r>
        <w:t xml:space="preserve">, not intraday whipsaws, unless liquidity evaporates.</w:t>
      </w:r>
      <w:r>
        <w:t xml:space="preserve"> </w:t>
      </w:r>
      <w:r>
        <w:t xml:space="preserve">- Default “hard stop” bands (guidelines, tuned by volatility):</w:t>
      </w:r>
      <w:r>
        <w:t xml:space="preserve"> </w:t>
      </w:r>
      <w:r>
        <w:t xml:space="preserve">- Lower-vol / megacap:</w:t>
      </w:r>
      <w:r>
        <w:t xml:space="preserve"> </w:t>
      </w:r>
      <w:r>
        <w:rPr>
          <w:b/>
          <w:bCs/>
        </w:rPr>
        <w:t xml:space="preserve">8–12%</w:t>
      </w:r>
      <w:r>
        <w:t xml:space="preserve"> </w:t>
      </w:r>
      <w:r>
        <w:t xml:space="preserve">- Cyclicals/energy services:</w:t>
      </w:r>
      <w:r>
        <w:t xml:space="preserve"> </w:t>
      </w:r>
      <w:r>
        <w:rPr>
          <w:b/>
          <w:bCs/>
        </w:rPr>
        <w:t xml:space="preserve">12–18%</w:t>
      </w:r>
      <w:r>
        <w:t xml:space="preserve"> </w:t>
      </w:r>
      <w:r>
        <w:t xml:space="preserve">- Highly momentum names:</w:t>
      </w:r>
      <w:r>
        <w:t xml:space="preserve"> </w:t>
      </w:r>
      <w:r>
        <w:rPr>
          <w:b/>
          <w:bCs/>
        </w:rPr>
        <w:t xml:space="preserve">18–25%</w:t>
      </w:r>
      <w:r>
        <w:t xml:space="preserve">, but sized smaller</w:t>
      </w:r>
    </w:p>
    <w:bookmarkEnd w:id="33"/>
    <w:bookmarkEnd w:id="34"/>
    <w:bookmarkStart w:id="64" w:name="proposed-portfolio-and-trade-cards"/>
    <w:p>
      <w:pPr>
        <w:pStyle w:val="Heading2"/>
      </w:pPr>
      <w:r>
        <w:t xml:space="preserve">Proposed portfolio and trade cards</w:t>
      </w:r>
    </w:p>
    <w:bookmarkStart w:id="36" w:name="current-prices-reference-point"/>
    <w:p>
      <w:pPr>
        <w:pStyle w:val="Heading3"/>
      </w:pPr>
      <w:r>
        <w:t xml:space="preserve">Current prices reference point</w:t>
      </w:r>
    </w:p>
    <w:p>
      <w:pPr>
        <w:pStyle w:val="FirstParagraph"/>
      </w:pPr>
      <w:r>
        <w:t xml:space="preserve">“Current” prices below are taken from the latest tool quotes around</w:t>
      </w:r>
      <w:r>
        <w:t xml:space="preserve"> </w:t>
      </w:r>
      <w:r>
        <w:rPr>
          <w:b/>
          <w:bCs/>
        </w:rPr>
        <w:t xml:space="preserve">Apr 2–3, 2026</w:t>
      </w:r>
      <w:r>
        <w:t xml:space="preserve">.</w:t>
      </w:r>
      <w:r>
        <w:br/>
      </w:r>
      <w:r>
        <w:rPr>
          <w:b/>
          <w:bCs/>
        </w:rPr>
        <w:t xml:space="preserve">BKNG note:</w:t>
      </w:r>
      <w:r>
        <w:t xml:space="preserve"> </w:t>
      </w:r>
      <w:r>
        <w:t xml:space="preserve">Booking executed a</w:t>
      </w:r>
      <w:r>
        <w:t xml:space="preserve"> </w:t>
      </w:r>
      <w:r>
        <w:rPr>
          <w:b/>
          <w:bCs/>
        </w:rPr>
        <w:t xml:space="preserve">25‑for‑1 forward split</w:t>
      </w:r>
      <w:r>
        <w:t xml:space="preserve"> </w:t>
      </w:r>
      <w:r>
        <w:t xml:space="preserve">effective</w:t>
      </w:r>
      <w:r>
        <w:t xml:space="preserve"> </w:t>
      </w:r>
      <w:r>
        <w:rPr>
          <w:b/>
          <w:bCs/>
        </w:rPr>
        <w:t xml:space="preserve">Apr 2, 2026</w:t>
      </w:r>
      <w:r>
        <w:t xml:space="preserve">, with</w:t>
      </w:r>
      <w:r>
        <w:t xml:space="preserve"> </w:t>
      </w:r>
      <w:r>
        <w:rPr>
          <w:b/>
          <w:bCs/>
        </w:rPr>
        <w:t xml:space="preserve">split‑adjusted trading expected to begin Apr 6, 2026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[10]</w:t>
        </w:r>
      </w:hyperlink>
      <w:r>
        <w:br/>
      </w:r>
      <w:r>
        <w:t xml:space="preserve">To keep targets comparable through year‑end 2026, BKNG targets are shown in</w:t>
      </w:r>
      <w:r>
        <w:t xml:space="preserve"> </w:t>
      </w:r>
      <w:r>
        <w:rPr>
          <w:b/>
          <w:bCs/>
        </w:rPr>
        <w:t xml:space="preserve">post‑split price terms</w:t>
      </w:r>
      <w:r>
        <w:t xml:space="preserve">.</w:t>
      </w:r>
    </w:p>
    <w:bookmarkEnd w:id="36"/>
    <w:bookmarkStart w:id="41" w:name="proposed-portfolio-table"/>
    <w:p>
      <w:pPr>
        <w:pStyle w:val="Heading3"/>
      </w:pPr>
      <w:r>
        <w:t xml:space="preserve">Proposed portfolio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Ticker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Allocation $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of fund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Target upside % (to EoY 2026)</w:t>
            </w:r>
          </w:p>
        </w:tc>
        <w:tc>
          <w:tcPr/>
          <w:p>
            <w:pPr>
              <w:pStyle w:val="Compact"/>
            </w:pPr>
            <w:r>
              <w:t xml:space="preserve">Rationale summary</w:t>
            </w:r>
          </w:p>
        </w:tc>
        <w:tc>
          <w:tcPr/>
          <w:p>
            <w:pPr>
              <w:pStyle w:val="Compact"/>
            </w:pPr>
            <w:r>
              <w:t xml:space="preserve">Key risks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OXY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Occidental Petroleum</w:t>
            </w:r>
            <w:hyperlink r:id="rId37">
              <w:r>
                <w:rPr>
                  <w:rStyle w:val="Hyperlink"/>
                </w:rPr>
                <w:t xml:space="preserve">[11]</w:t>
              </w:r>
            </w:hyperlink>
          </w:p>
        </w:tc>
        <w:tc>
          <w:tcPr/>
          <w:p>
            <w:pPr>
              <w:pStyle w:val="Compact"/>
              <w:jc w:val="right"/>
            </w:pPr>
            <w:r>
              <w:t xml:space="preserve">$7,000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~+51%</w:t>
            </w:r>
          </w:p>
        </w:tc>
        <w:tc>
          <w:tcPr/>
          <w:p>
            <w:pPr>
              <w:pStyle w:val="Compact"/>
            </w:pPr>
            <w:r>
              <w:t xml:space="preserve">Oil-risk torque + debt repair</w:t>
            </w:r>
          </w:p>
        </w:tc>
        <w:tc>
          <w:tcPr/>
          <w:p>
            <w:pPr>
              <w:pStyle w:val="Compact"/>
            </w:pPr>
            <w:r>
              <w:t xml:space="preserve">Commodity drawdown; acquisition/dilution; leverage sensitivity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Cheniere Energy</w:t>
            </w:r>
            <w:hyperlink r:id="rId37">
              <w:r>
                <w:rPr>
                  <w:rStyle w:val="Hyperlink"/>
                </w:rPr>
                <w:t xml:space="preserve">[12]</w:t>
              </w:r>
            </w:hyperlink>
          </w:p>
        </w:tc>
        <w:tc>
          <w:tcPr/>
          <w:p>
            <w:pPr>
              <w:pStyle w:val="Compact"/>
              <w:jc w:val="right"/>
            </w:pPr>
            <w:r>
              <w:t xml:space="preserve">$7,000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~+42%</w:t>
            </w:r>
          </w:p>
        </w:tc>
        <w:tc>
          <w:tcPr/>
          <w:p>
            <w:pPr>
              <w:pStyle w:val="Compact"/>
            </w:pPr>
            <w:r>
              <w:t xml:space="preserve">LNG security + buyback step‑change</w:t>
            </w:r>
          </w:p>
        </w:tc>
        <w:tc>
          <w:tcPr/>
          <w:p>
            <w:pPr>
              <w:pStyle w:val="Compact"/>
            </w:pPr>
            <w:r>
              <w:t xml:space="preserve">Leverage; regulatory/permitting; project execution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BKNG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Booking Holdings</w:t>
            </w:r>
            <w:hyperlink r:id="rId28">
              <w:r>
                <w:rPr>
                  <w:rStyle w:val="Hyperlink"/>
                </w:rPr>
                <w:t xml:space="preserve">[13]</w:t>
              </w:r>
            </w:hyperlink>
          </w:p>
        </w:tc>
        <w:tc>
          <w:tcPr/>
          <w:p>
            <w:pPr>
              <w:pStyle w:val="Compact"/>
              <w:jc w:val="right"/>
            </w:pPr>
            <w:r>
              <w:t xml:space="preserve">$6,000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~+49%</w:t>
            </w:r>
          </w:p>
        </w:tc>
        <w:tc>
          <w:tcPr/>
          <w:p>
            <w:pPr>
              <w:pStyle w:val="Compact"/>
            </w:pPr>
            <w:r>
              <w:t xml:space="preserve">Risk‑on re‑rating + massive buybacks</w:t>
            </w:r>
          </w:p>
        </w:tc>
        <w:tc>
          <w:tcPr/>
          <w:p>
            <w:pPr>
              <w:pStyle w:val="Compact"/>
            </w:pPr>
            <w:r>
              <w:t xml:space="preserve">Travel slowdown; AI disruption fears; insider selling optics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NVDA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NVIDIA</w:t>
            </w:r>
            <w:hyperlink r:id="rId38">
              <w:r>
                <w:rPr>
                  <w:rStyle w:val="Hyperlink"/>
                </w:rPr>
                <w:t xml:space="preserve">[14]</w:t>
              </w:r>
            </w:hyperlink>
          </w:p>
        </w:tc>
        <w:tc>
          <w:tcPr/>
          <w:p>
            <w:pPr>
              <w:pStyle w:val="Compact"/>
              <w:jc w:val="right"/>
            </w:pPr>
            <w:r>
              <w:t xml:space="preserve">$6,000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~+47%</w:t>
            </w:r>
          </w:p>
        </w:tc>
        <w:tc>
          <w:tcPr/>
          <w:p>
            <w:pPr>
              <w:pStyle w:val="Compact"/>
            </w:pPr>
            <w:r>
              <w:t xml:space="preserve">Risk‑on upside + extreme capital return</w:t>
            </w:r>
          </w:p>
        </w:tc>
        <w:tc>
          <w:tcPr/>
          <w:p>
            <w:pPr>
              <w:pStyle w:val="Compact"/>
            </w:pPr>
            <w:r>
              <w:t xml:space="preserve">Valuation; export controls; heavy insider sales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AerCap</w:t>
            </w:r>
            <w:hyperlink r:id="rId27">
              <w:r>
                <w:rPr>
                  <w:rStyle w:val="Hyperlink"/>
                </w:rPr>
                <w:t xml:space="preserve">[15]</w:t>
              </w:r>
            </w:hyperlink>
          </w:p>
        </w:tc>
        <w:tc>
          <w:tcPr/>
          <w:p>
            <w:pPr>
              <w:pStyle w:val="Compact"/>
              <w:jc w:val="right"/>
            </w:pPr>
            <w:r>
              <w:t xml:space="preserve">$5,000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~+47%</w:t>
            </w:r>
          </w:p>
        </w:tc>
        <w:tc>
          <w:tcPr/>
          <w:p>
            <w:pPr>
              <w:pStyle w:val="Compact"/>
            </w:pPr>
            <w:r>
              <w:t xml:space="preserve">Mispriced balance sheet + shrinking share count</w:t>
            </w:r>
          </w:p>
        </w:tc>
        <w:tc>
          <w:tcPr/>
          <w:p>
            <w:pPr>
              <w:pStyle w:val="Compact"/>
            </w:pPr>
            <w:r>
              <w:t xml:space="preserve">Airline stress; funding costs; residual value risk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BKR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Baker Hughes</w:t>
            </w:r>
            <w:hyperlink r:id="rId37">
              <w:r>
                <w:rPr>
                  <w:rStyle w:val="Hyperlink"/>
                </w:rPr>
                <w:t xml:space="preserve">[16]</w:t>
              </w:r>
            </w:hyperlink>
          </w:p>
        </w:tc>
        <w:tc>
          <w:tcPr/>
          <w:p>
            <w:pPr>
              <w:pStyle w:val="Compact"/>
              <w:jc w:val="right"/>
            </w:pPr>
            <w:r>
              <w:t xml:space="preserve">$5,000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~+41%</w:t>
            </w:r>
          </w:p>
        </w:tc>
        <w:tc>
          <w:tcPr/>
          <w:p>
            <w:pPr>
              <w:pStyle w:val="Compact"/>
            </w:pPr>
            <w:r>
              <w:t xml:space="preserve">Safer energy cyclicality + net share decline</w:t>
            </w:r>
          </w:p>
        </w:tc>
        <w:tc>
          <w:tcPr/>
          <w:p>
            <w:pPr>
              <w:pStyle w:val="Compact"/>
            </w:pPr>
            <w:r>
              <w:t xml:space="preserve">Cycle turns; M&amp;A distraction; insider selling signals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RTX</w:t>
            </w:r>
            <w:hyperlink r:id="rId22">
              <w:r>
                <w:rPr>
                  <w:rStyle w:val="Hyperlink"/>
                </w:rPr>
                <w:t xml:space="preserve">[17]</w:t>
              </w:r>
            </w:hyperlink>
          </w:p>
        </w:tc>
        <w:tc>
          <w:tcPr/>
          <w:p>
            <w:pPr>
              <w:pStyle w:val="Compact"/>
              <w:jc w:val="right"/>
            </w:pPr>
            <w:r>
              <w:t xml:space="preserve">$5,000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~+25%</w:t>
            </w:r>
          </w:p>
        </w:tc>
        <w:tc>
          <w:tcPr/>
          <w:p>
            <w:pPr>
              <w:pStyle w:val="Compact"/>
            </w:pPr>
            <w:r>
              <w:t xml:space="preserve">Defense backlog + “war hedge”</w:t>
            </w:r>
          </w:p>
        </w:tc>
        <w:tc>
          <w:tcPr/>
          <w:p>
            <w:pPr>
              <w:pStyle w:val="Compact"/>
            </w:pPr>
            <w:r>
              <w:t xml:space="preserve">High debt; program risk; govt constraints language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PLTR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Palantir Technologies</w:t>
            </w:r>
            <w:hyperlink r:id="rId39">
              <w:r>
                <w:rPr>
                  <w:rStyle w:val="Hyperlink"/>
                </w:rPr>
                <w:t xml:space="preserve">[18]</w:t>
              </w:r>
            </w:hyperlink>
          </w:p>
        </w:tc>
        <w:tc>
          <w:tcPr/>
          <w:p>
            <w:pPr>
              <w:pStyle w:val="Compact"/>
              <w:jc w:val="right"/>
            </w:pPr>
            <w:r>
              <w:t xml:space="preserve">$5,000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~+48%</w:t>
            </w:r>
          </w:p>
        </w:tc>
        <w:tc>
          <w:tcPr/>
          <w:p>
            <w:pPr>
              <w:pStyle w:val="Compact"/>
            </w:pPr>
            <w:r>
              <w:t xml:space="preserve">High-beta defense/AI optionality</w:t>
            </w:r>
          </w:p>
        </w:tc>
        <w:tc>
          <w:tcPr/>
          <w:p>
            <w:pPr>
              <w:pStyle w:val="Compact"/>
            </w:pPr>
            <w:r>
              <w:t xml:space="preserve">Extreme valuation; dilution via SBC; heavy insider selling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Scorpio Tankers</w:t>
            </w:r>
            <w:hyperlink r:id="rId40">
              <w:r>
                <w:rPr>
                  <w:rStyle w:val="Hyperlink"/>
                </w:rPr>
                <w:t xml:space="preserve">[19]</w:t>
              </w:r>
            </w:hyperlink>
          </w:p>
        </w:tc>
        <w:tc>
          <w:tcPr/>
          <w:p>
            <w:pPr>
              <w:pStyle w:val="Compact"/>
              <w:jc w:val="right"/>
            </w:pPr>
            <w:r>
              <w:t xml:space="preserve">$4,000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~+37%</w:t>
            </w:r>
          </w:p>
        </w:tc>
        <w:tc>
          <w:tcPr/>
          <w:p>
            <w:pPr>
              <w:pStyle w:val="Compact"/>
            </w:pPr>
            <w:r>
              <w:t xml:space="preserve">Freight-rate convexity + capital return</w:t>
            </w:r>
          </w:p>
        </w:tc>
        <w:tc>
          <w:tcPr/>
          <w:p>
            <w:pPr>
              <w:pStyle w:val="Compact"/>
            </w:pPr>
            <w:r>
              <w:t xml:space="preserve">Cyclical rates; geopolitics can cut both ways; shipping volatility</w:t>
            </w:r>
          </w:p>
        </w:tc>
      </w:tr>
    </w:tbl>
    <w:bookmarkEnd w:id="41"/>
    <w:bookmarkStart w:id="42" w:name="allocation-chart"/>
    <w:p>
      <w:pPr>
        <w:pStyle w:val="Heading3"/>
      </w:pPr>
      <w:r>
        <w:t xml:space="preserve">Allocation chart</w:t>
      </w:r>
    </w:p>
    <w:p>
      <w:pPr>
        <w:pStyle w:val="SourceCode"/>
      </w:pPr>
      <w:r>
        <w:rPr>
          <w:rStyle w:val="VerbatimChar"/>
        </w:rPr>
        <w:t xml:space="preserve">pie title Allocation of $50,000 (high-risk exercise)</w:t>
      </w:r>
      <w:r>
        <w:br/>
      </w:r>
      <w:r>
        <w:rPr>
          <w:rStyle w:val="VerbatimChar"/>
        </w:rPr>
        <w:t xml:space="preserve">  "OXY 14%" : 14</w:t>
      </w:r>
      <w:r>
        <w:br/>
      </w:r>
      <w:r>
        <w:rPr>
          <w:rStyle w:val="VerbatimChar"/>
        </w:rPr>
        <w:t xml:space="preserve">  "LNG 14%" : 14</w:t>
      </w:r>
      <w:r>
        <w:br/>
      </w:r>
      <w:r>
        <w:rPr>
          <w:rStyle w:val="VerbatimChar"/>
        </w:rPr>
        <w:t xml:space="preserve">  "BKNG 12%" : 12</w:t>
      </w:r>
      <w:r>
        <w:br/>
      </w:r>
      <w:r>
        <w:rPr>
          <w:rStyle w:val="VerbatimChar"/>
        </w:rPr>
        <w:t xml:space="preserve">  "NVDA 12%" : 12</w:t>
      </w:r>
      <w:r>
        <w:br/>
      </w:r>
      <w:r>
        <w:rPr>
          <w:rStyle w:val="VerbatimChar"/>
        </w:rPr>
        <w:t xml:space="preserve">  "AER 10%" : 10</w:t>
      </w:r>
      <w:r>
        <w:br/>
      </w:r>
      <w:r>
        <w:rPr>
          <w:rStyle w:val="VerbatimChar"/>
        </w:rPr>
        <w:t xml:space="preserve">  "BKR 10%" : 10</w:t>
      </w:r>
      <w:r>
        <w:br/>
      </w:r>
      <w:r>
        <w:rPr>
          <w:rStyle w:val="VerbatimChar"/>
        </w:rPr>
        <w:t xml:space="preserve">  "RTX 10%" : 10</w:t>
      </w:r>
      <w:r>
        <w:br/>
      </w:r>
      <w:r>
        <w:rPr>
          <w:rStyle w:val="VerbatimChar"/>
        </w:rPr>
        <w:t xml:space="preserve">  "PLTR 10%" : 10</w:t>
      </w:r>
      <w:r>
        <w:br/>
      </w:r>
      <w:r>
        <w:rPr>
          <w:rStyle w:val="VerbatimChar"/>
        </w:rPr>
        <w:t xml:space="preserve">  "STNG 8%" : 8</w:t>
      </w:r>
    </w:p>
    <w:bookmarkEnd w:id="42"/>
    <w:bookmarkStart w:id="44" w:name="price-targets-and-implied-upside"/>
    <w:p>
      <w:pPr>
        <w:pStyle w:val="Heading3"/>
      </w:pPr>
      <w:r>
        <w:t xml:space="preserve">Price targets and implied upside</w:t>
      </w:r>
    </w:p>
    <w:p>
      <w:pPr>
        <w:pStyle w:val="FirstParagraph"/>
      </w:pPr>
      <w:r>
        <w:t xml:space="preserve">Targets below are</w:t>
      </w:r>
      <w:r>
        <w:t xml:space="preserve"> </w:t>
      </w:r>
      <w:r>
        <w:rPr>
          <w:b/>
          <w:bCs/>
        </w:rPr>
        <w:t xml:space="preserve">end‑2026 objectives</w:t>
      </w:r>
      <w:r>
        <w:t xml:space="preserve"> </w:t>
      </w:r>
      <w:r>
        <w:t xml:space="preserve">(not forecasts). “Current” is the cited reference price point; BKNG is shown</w:t>
      </w:r>
      <w:r>
        <w:t xml:space="preserve"> </w:t>
      </w:r>
      <w:r>
        <w:rPr>
          <w:b/>
          <w:bCs/>
        </w:rPr>
        <w:t xml:space="preserve">post‑split equivalent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Ticker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Current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Target (EoY 2026)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Implied upside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OXY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$62.97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~+51%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$281.16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~+42%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BKNG (post‑split eq.)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$4,194.31 ÷ 25 ≈ $167.8</w:t>
            </w:r>
            <w:r>
              <w:t xml:space="preserve"> </w:t>
            </w:r>
            <w:hyperlink r:id="rId43">
              <w:r>
                <w:rPr>
                  <w:rStyle w:val="Hyperlink"/>
                </w:rPr>
                <w:t xml:space="preserve">[20]</w:t>
              </w:r>
            </w:hyperlink>
          </w:p>
        </w:tc>
        <w:tc>
          <w:tcPr/>
          <w:p>
            <w:pPr>
              <w:pStyle w:val="Compact"/>
              <w:jc w:val="right"/>
            </w:pPr>
            <w:r>
              <w:t xml:space="preserve">$250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~+49%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NVDA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$177.39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~+47%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$139.18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~+47%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BKR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$60.38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~+41%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$196.21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~+25%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PLTR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$148.46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~+48%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$76.43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~+37%</w:t>
            </w:r>
          </w:p>
        </w:tc>
      </w:tr>
    </w:tbl>
    <w:bookmarkEnd w:id="44"/>
    <w:bookmarkStart w:id="55" w:name="X89caa6ce5cca4f2c2c6d0b033eaaa821902b44c"/>
    <w:p>
      <w:pPr>
        <w:pStyle w:val="Heading3"/>
      </w:pPr>
      <w:r>
        <w:t xml:space="preserve">Top five highest‑conviction picks with deeper analysis</w:t>
      </w:r>
    </w:p>
    <w:p>
      <w:pPr>
        <w:pStyle w:val="FirstParagraph"/>
      </w:pPr>
      <w:r>
        <w:t xml:space="preserve">The following are treated as the primary engines of the portfolio—the rest are satellites/hedges.</w:t>
      </w:r>
    </w:p>
    <w:p>
      <w:pPr>
        <w:pStyle w:val="BodyText"/>
      </w:pPr>
      <w:r>
        <w:rPr>
          <w:b/>
          <w:bCs/>
        </w:rPr>
        <w:t xml:space="preserve">BKNG — why it’s top‑tier in this setup</w:t>
      </w:r>
      <w:r>
        <w:br/>
      </w:r>
      <w:r>
        <w:t xml:space="preserve">BKNG is positioned as a</w:t>
      </w:r>
      <w:r>
        <w:t xml:space="preserve"> </w:t>
      </w:r>
      <w:r>
        <w:rPr>
          <w:b/>
          <w:bCs/>
        </w:rPr>
        <w:t xml:space="preserve">stabilization beneficiary</w:t>
      </w:r>
      <w:r>
        <w:t xml:space="preserve">: if market risk appetite improves (even without fuel falling), travel demand and platform volumes can re‑rate quickly, while the company also has a</w:t>
      </w:r>
      <w:r>
        <w:t xml:space="preserve"> </w:t>
      </w:r>
      <w:r>
        <w:rPr>
          <w:b/>
          <w:bCs/>
        </w:rPr>
        <w:t xml:space="preserve">large and active capital return program</w:t>
      </w:r>
      <w:r>
        <w:t xml:space="preserve">. A key 2026 “technical” catalyst is the</w:t>
      </w:r>
      <w:r>
        <w:t xml:space="preserve"> </w:t>
      </w:r>
      <w:r>
        <w:rPr>
          <w:b/>
          <w:bCs/>
        </w:rPr>
        <w:t xml:space="preserve">forward split</w:t>
      </w:r>
      <w:r>
        <w:t xml:space="preserve"> </w:t>
      </w:r>
      <w:r>
        <w:t xml:space="preserve">(liquidity/optionability/retail accessibility), formally executed via certificate amendment and disclosed in the April 2026 filing.</w:t>
      </w:r>
      <w:r>
        <w:t xml:space="preserve"> </w:t>
      </w:r>
      <w:hyperlink r:id="rId35">
        <w:r>
          <w:rPr>
            <w:rStyle w:val="Hyperlink"/>
          </w:rPr>
          <w:t xml:space="preserve">[10]</w:t>
        </w:r>
      </w:hyperlink>
      <w:r>
        <w:br/>
      </w:r>
      <w:r>
        <w:t xml:space="preserve">Fundamentals and capital return signals:</w:t>
      </w:r>
      <w:r>
        <w:t xml:space="preserve"> </w:t>
      </w:r>
      <w:r>
        <w:t xml:space="preserve">- Cash and equivalents were reported at</w:t>
      </w:r>
      <w:r>
        <w:t xml:space="preserve"> </w:t>
      </w:r>
      <w:r>
        <w:rPr>
          <w:b/>
          <w:bCs/>
        </w:rPr>
        <w:t xml:space="preserve">$17.2B</w:t>
      </w:r>
      <w:r>
        <w:t xml:space="preserve"> </w:t>
      </w:r>
      <w:r>
        <w:t xml:space="preserve">at Dec 31, 2025, with long‑term debt</w:t>
      </w:r>
      <w:r>
        <w:t xml:space="preserve"> </w:t>
      </w:r>
      <w:r>
        <w:rPr>
          <w:b/>
          <w:bCs/>
        </w:rPr>
        <w:t xml:space="preserve">$16.9B</w:t>
      </w:r>
      <w:r>
        <w:t xml:space="preserve">.</w:t>
      </w:r>
      <w:r>
        <w:t xml:space="preserve"> </w:t>
      </w:r>
      <w:hyperlink r:id="rId45">
        <w:r>
          <w:rPr>
            <w:rStyle w:val="Hyperlink"/>
          </w:rPr>
          <w:t xml:space="preserve">[21]</w:t>
        </w:r>
      </w:hyperlink>
      <w:r>
        <w:br/>
      </w:r>
      <w:r>
        <w:t xml:space="preserve">- The company reported heavy repurchases: total 2025 repurchase spend (including withheld shares on vesting) of</w:t>
      </w:r>
      <w:r>
        <w:t xml:space="preserve"> </w:t>
      </w:r>
      <w:r>
        <w:rPr>
          <w:b/>
          <w:bCs/>
        </w:rPr>
        <w:t xml:space="preserve">$6.4B</w:t>
      </w:r>
      <w:r>
        <w:t xml:space="preserve"> </w:t>
      </w:r>
      <w:r>
        <w:t xml:space="preserve">in the 10‑K and</w:t>
      </w:r>
      <w:r>
        <w:t xml:space="preserve"> </w:t>
      </w:r>
      <w:r>
        <w:rPr>
          <w:b/>
          <w:bCs/>
        </w:rPr>
        <w:t xml:space="preserve">$2.1B repurchased in Q4 2025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$21.8B authorization remaining</w:t>
      </w:r>
      <w:r>
        <w:t xml:space="preserve"> </w:t>
      </w:r>
      <w:r>
        <w:t xml:space="preserve">at Dec 31, 2025.</w:t>
      </w:r>
      <w:r>
        <w:t xml:space="preserve"> </w:t>
      </w:r>
      <w:hyperlink r:id="rId45">
        <w:r>
          <w:rPr>
            <w:rStyle w:val="Hyperlink"/>
          </w:rPr>
          <w:t xml:space="preserve">[22]</w:t>
        </w:r>
      </w:hyperlink>
      <w:r>
        <w:br/>
      </w:r>
      <w:r>
        <w:t xml:space="preserve">Hidden-danger checks: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Dilution risk:</w:t>
      </w:r>
      <w:r>
        <w:t xml:space="preserve"> </w:t>
      </w:r>
      <w:r>
        <w:t xml:space="preserve">opposite of typical growth tech—BKNG’s filings show large repurchase outflows; the core risk is not dilution, it’s “buying back too expensive.”</w:t>
      </w:r>
      <w:r>
        <w:t xml:space="preserve"> </w:t>
      </w:r>
      <w:hyperlink r:id="rId45">
        <w:r>
          <w:rPr>
            <w:rStyle w:val="Hyperlink"/>
          </w:rPr>
          <w:t xml:space="preserve">[23]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Insider selling:</w:t>
      </w:r>
      <w:r>
        <w:t xml:space="preserve"> </w:t>
      </w:r>
      <w:r>
        <w:t xml:space="preserve">recent insider‑transaction feeds show sales activity (optics risk into volatility).</w:t>
      </w:r>
      <w:r>
        <w:t xml:space="preserve"> </w:t>
      </w:r>
      <w:hyperlink r:id="rId46">
        <w:r>
          <w:rPr>
            <w:rStyle w:val="Hyperlink"/>
          </w:rPr>
          <w:t xml:space="preserve">[24]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Short interest:</w:t>
      </w:r>
      <w:r>
        <w:t xml:space="preserve"> </w:t>
      </w:r>
      <w:r>
        <w:t xml:space="preserve">modest (~3% of float in mid‑March).</w:t>
      </w:r>
      <w:r>
        <w:t xml:space="preserve"> </w:t>
      </w:r>
      <w:hyperlink r:id="rId47">
        <w:r>
          <w:rPr>
            <w:rStyle w:val="Hyperlink"/>
          </w:rPr>
          <w:t xml:space="preserve">[25]</w:t>
        </w:r>
      </w:hyperlink>
      <w:r>
        <w:br/>
      </w:r>
      <w:r>
        <w:t xml:space="preserve">2026 catalysts:</w:t>
      </w:r>
      <w:r>
        <w:t xml:space="preserve"> </w:t>
      </w:r>
      <w:r>
        <w:t xml:space="preserve">- Transformation program: management disclosed</w:t>
      </w:r>
      <w:r>
        <w:t xml:space="preserve"> </w:t>
      </w:r>
      <w:r>
        <w:rPr>
          <w:b/>
          <w:bCs/>
        </w:rPr>
        <w:t xml:space="preserve">~$550M annual run‑rate savings</w:t>
      </w:r>
      <w:r>
        <w:t xml:space="preserve"> </w:t>
      </w:r>
      <w:r>
        <w:t xml:space="preserve">expected to be realized</w:t>
      </w:r>
      <w:r>
        <w:t xml:space="preserve"> </w:t>
      </w:r>
      <w:r>
        <w:rPr>
          <w:b/>
          <w:bCs/>
        </w:rPr>
        <w:t xml:space="preserve">by end‑2026</w:t>
      </w:r>
      <w:r>
        <w:t xml:space="preserve">.</w:t>
      </w:r>
      <w:r>
        <w:t xml:space="preserve"> </w:t>
      </w:r>
      <w:hyperlink r:id="rId48">
        <w:r>
          <w:rPr>
            <w:rStyle w:val="Hyperlink"/>
          </w:rPr>
          <w:t xml:space="preserve">[26]</w:t>
        </w:r>
      </w:hyperlink>
      <w:r>
        <w:br/>
      </w:r>
      <w:r>
        <w:t xml:space="preserve">Entry plan (trader-style):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Time-to-entry:</w:t>
      </w:r>
      <w:r>
        <w:t xml:space="preserve"> </w:t>
      </w:r>
      <w:r>
        <w:t xml:space="preserve">after split-adjusted trading begins (Apr 6); scale in over</w:t>
      </w:r>
      <w:r>
        <w:t xml:space="preserve"> </w:t>
      </w:r>
      <w:r>
        <w:rPr>
          <w:b/>
          <w:bCs/>
        </w:rPr>
        <w:t xml:space="preserve">2–4 weeks</w:t>
      </w:r>
      <w:r>
        <w:t xml:space="preserve"> </w:t>
      </w:r>
      <w:r>
        <w:t xml:space="preserve">(avoid overpaying into split hype).</w:t>
      </w:r>
      <w:r>
        <w:t xml:space="preserve"> </w:t>
      </w:r>
      <w:hyperlink r:id="rId35">
        <w:r>
          <w:rPr>
            <w:rStyle w:val="Hyperlink"/>
          </w:rPr>
          <w:t xml:space="preserve">[10]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Stops:</w:t>
      </w:r>
      <w:r>
        <w:t xml:space="preserve"> </w:t>
      </w:r>
      <w:r>
        <w:t xml:space="preserve">10–12% closing stop from blended entry; add only on higher lows / post‑earnings dips.</w:t>
      </w:r>
      <w:r>
        <w:br/>
      </w:r>
      <w:r>
        <w:t xml:space="preserve">Bear case:</w:t>
      </w:r>
      <w:r>
        <w:t xml:space="preserve"> </w:t>
      </w:r>
      <w:r>
        <w:t xml:space="preserve">- A recessionary shock from sustained oil spikes crimps discretionary travel; competitive pressure or AI-driven platform disintermediation drives multiple compression.</w:t>
      </w:r>
    </w:p>
    <w:p>
      <w:pPr>
        <w:pStyle w:val="BodyText"/>
      </w:pPr>
      <w:r>
        <w:rPr>
          <w:b/>
          <w:bCs/>
        </w:rPr>
        <w:t xml:space="preserve">LNG — LNG security + buyback step‑change</w:t>
      </w:r>
      <w:r>
        <w:br/>
      </w:r>
      <w:r>
        <w:t xml:space="preserve">Cheniere is the portfolio’s</w:t>
      </w:r>
      <w:r>
        <w:t xml:space="preserve"> </w:t>
      </w:r>
      <w:r>
        <w:rPr>
          <w:b/>
          <w:bCs/>
        </w:rPr>
        <w:t xml:space="preserve">direct “energy-security infrastructure” bet</w:t>
      </w:r>
      <w:r>
        <w:t xml:space="preserve">. If Hormuz uncertainty persists, global buyers may pay a premium for reliable LNG supply chains, and EIA explicitly notes the significance of Hormuz to LNG trade flows.</w:t>
      </w:r>
      <w:r>
        <w:t xml:space="preserve"> </w:t>
      </w:r>
      <w:hyperlink r:id="rId26">
        <w:r>
          <w:rPr>
            <w:rStyle w:val="Hyperlink"/>
          </w:rPr>
          <w:t xml:space="preserve">[27]</w:t>
        </w:r>
      </w:hyperlink>
      <w:r>
        <w:br/>
      </w:r>
      <w:r>
        <w:t xml:space="preserve">Capital return and balance-sheet facts from filings:</w:t>
      </w:r>
      <w:r>
        <w:t xml:space="preserve"> </w:t>
      </w:r>
      <w:r>
        <w:t xml:space="preserve">- Cheniere disclosed</w:t>
      </w:r>
      <w:r>
        <w:t xml:space="preserve"> </w:t>
      </w:r>
      <w:r>
        <w:rPr>
          <w:b/>
          <w:bCs/>
        </w:rPr>
        <w:t xml:space="preserve">$23.0B total debt outstanding</w:t>
      </w:r>
      <w:r>
        <w:t xml:space="preserve"> </w:t>
      </w:r>
      <w:r>
        <w:t xml:space="preserve">(before discounts/costs) and</w:t>
      </w:r>
      <w:r>
        <w:t xml:space="preserve"> </w:t>
      </w:r>
      <w:r>
        <w:rPr>
          <w:b/>
          <w:bCs/>
        </w:rPr>
        <w:t xml:space="preserve">$1.1B cash and equivalents</w:t>
      </w:r>
      <w:r>
        <w:t xml:space="preserve"> </w:t>
      </w:r>
      <w:r>
        <w:t xml:space="preserve">at Dec 31, 2025.</w:t>
      </w:r>
      <w:r>
        <w:t xml:space="preserve"> </w:t>
      </w:r>
      <w:hyperlink r:id="rId37">
        <w:r>
          <w:rPr>
            <w:rStyle w:val="Hyperlink"/>
          </w:rPr>
          <w:t xml:space="preserve">[28]</w:t>
        </w:r>
      </w:hyperlink>
      <w:r>
        <w:br/>
      </w:r>
      <w:r>
        <w:t xml:space="preserve">- Shareholder return is aggressive:</w:t>
      </w:r>
      <w:r>
        <w:t xml:space="preserve"> </w:t>
      </w:r>
      <w:r>
        <w:rPr>
          <w:b/>
          <w:bCs/>
        </w:rPr>
        <w:t xml:space="preserve">~12.1M shares repurchased for $2.7B in 2025</w:t>
      </w:r>
      <w:r>
        <w:t xml:space="preserve">, and the board increased authorization in Feb 2026 to</w:t>
      </w:r>
      <w:r>
        <w:t xml:space="preserve"> </w:t>
      </w:r>
      <w:r>
        <w:rPr>
          <w:b/>
          <w:bCs/>
        </w:rPr>
        <w:t xml:space="preserve">~$10B from 2026–2030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[29]</w:t>
        </w:r>
      </w:hyperlink>
      <w:r>
        <w:br/>
      </w:r>
      <w:r>
        <w:t xml:space="preserve">Project/permitting catalysts:</w:t>
      </w:r>
      <w:r>
        <w:t xml:space="preserve"> </w:t>
      </w:r>
      <w:r>
        <w:t xml:space="preserve">- The 10‑K describes multiple pending/active FERC applications and expansions (Corpus Christi stage changes, further expansion filings).</w:t>
      </w:r>
      <w:r>
        <w:t xml:space="preserve"> </w:t>
      </w:r>
      <w:hyperlink r:id="rId37">
        <w:r>
          <w:rPr>
            <w:rStyle w:val="Hyperlink"/>
          </w:rPr>
          <w:t xml:space="preserve">[30]</w:t>
        </w:r>
      </w:hyperlink>
      <w:r>
        <w:br/>
      </w:r>
      <w:r>
        <w:t xml:space="preserve">Hidden-danger checks: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Leverage:</w:t>
      </w:r>
      <w:r>
        <w:t xml:space="preserve"> </w:t>
      </w:r>
      <w:r>
        <w:t xml:space="preserve">debt is large; LNG is not a “clean balance sheet” story—it’s a contracted-infrastructure story where valuation can re-rate when risk premium rises.</w:t>
      </w:r>
      <w:r>
        <w:t xml:space="preserve"> </w:t>
      </w:r>
      <w:hyperlink r:id="rId37">
        <w:r>
          <w:rPr>
            <w:rStyle w:val="Hyperlink"/>
          </w:rPr>
          <w:t xml:space="preserve">[28]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Dilution:</w:t>
      </w:r>
      <w:r>
        <w:t xml:space="preserve"> </w:t>
      </w:r>
      <w:r>
        <w:t xml:space="preserve">buybacks are meaningful; dilution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the first-order threat in filings.</w:t>
      </w:r>
      <w:r>
        <w:t xml:space="preserve"> </w:t>
      </w:r>
      <w:hyperlink r:id="rId37">
        <w:r>
          <w:rPr>
            <w:rStyle w:val="Hyperlink"/>
          </w:rPr>
          <w:t xml:space="preserve">[31]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Valuation vs earnings:</w:t>
      </w:r>
      <w:r>
        <w:t xml:space="preserve"> </w:t>
      </w:r>
      <w:r>
        <w:t xml:space="preserve">current P/E is in the low teens in the quote snapshot, consistent with “cash return + infrastructure” rather than high multiple growth.</w:t>
      </w:r>
      <w:r>
        <w:br/>
      </w:r>
      <w:r>
        <w:t xml:space="preserve">Entry plan: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Time-to-entry:</w:t>
      </w:r>
      <w:r>
        <w:t xml:space="preserve"> </w:t>
      </w:r>
      <w:r>
        <w:t xml:space="preserve">staged entry over</w:t>
      </w:r>
      <w:r>
        <w:t xml:space="preserve"> </w:t>
      </w:r>
      <w:r>
        <w:rPr>
          <w:b/>
          <w:bCs/>
        </w:rPr>
        <w:t xml:space="preserve">1–3 weeks</w:t>
      </w:r>
      <w:r>
        <w:t xml:space="preserve">; add on any pullback tied to rate scares rather than project impairment.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Stops:</w:t>
      </w:r>
      <w:r>
        <w:t xml:space="preserve"> </w:t>
      </w:r>
      <w:r>
        <w:t xml:space="preserve">12–15% closing stop; if stopped, re-enter only after next quarterly update confirms buyback + project schedule.</w:t>
      </w:r>
      <w:r>
        <w:br/>
      </w:r>
      <w:r>
        <w:t xml:space="preserve">Bear case:</w:t>
      </w:r>
      <w:r>
        <w:t xml:space="preserve"> </w:t>
      </w:r>
      <w:r>
        <w:t xml:space="preserve">- Regulatory/permitting delays or construction cost inflation; LNG demand shock; forced de‑levering reduces buyback pace.</w:t>
      </w:r>
    </w:p>
    <w:p>
      <w:pPr>
        <w:pStyle w:val="BodyText"/>
      </w:pPr>
      <w:r>
        <w:rPr>
          <w:b/>
          <w:bCs/>
        </w:rPr>
        <w:t xml:space="preserve">OXY — torque to sustained oil risk + visible debt trajectory</w:t>
      </w:r>
      <w:r>
        <w:br/>
      </w:r>
      <w:r>
        <w:t xml:space="preserve">OXY is the portfolio’s</w:t>
      </w:r>
      <w:r>
        <w:t xml:space="preserve"> </w:t>
      </w:r>
      <w:r>
        <w:rPr>
          <w:b/>
          <w:bCs/>
        </w:rPr>
        <w:t xml:space="preserve">highest commodity torque</w:t>
      </w:r>
      <w:r>
        <w:t xml:space="preserve"> </w:t>
      </w:r>
      <w:r>
        <w:t xml:space="preserve">name. If oil remains structurally high/volatile under Hormuz tail risk, OXY can re-rate meaningfully; if oil collapses, it is the portfolio’s largest “macro downside” contributor.</w:t>
      </w:r>
    </w:p>
    <w:p>
      <w:pPr>
        <w:pStyle w:val="BodyText"/>
      </w:pPr>
      <w:r>
        <w:t xml:space="preserve">Balance sheet and capital posture:</w:t>
      </w:r>
      <w:r>
        <w:t xml:space="preserve"> </w:t>
      </w:r>
      <w:r>
        <w:t xml:space="preserve">- The company reported that it completed an OxyChem sale and</w:t>
      </w:r>
      <w:r>
        <w:t xml:space="preserve"> </w:t>
      </w:r>
      <w:r>
        <w:rPr>
          <w:b/>
          <w:bCs/>
        </w:rPr>
        <w:t xml:space="preserve">reduced debt by $5.8B since mid‑Dec 2025</w:t>
      </w:r>
      <w:r>
        <w:t xml:space="preserve">, bringing</w:t>
      </w:r>
      <w:r>
        <w:t xml:space="preserve"> </w:t>
      </w:r>
      <w:r>
        <w:rPr>
          <w:b/>
          <w:bCs/>
        </w:rPr>
        <w:t xml:space="preserve">principal debt to $15.0B</w:t>
      </w:r>
      <w:r>
        <w:t xml:space="preserve"> </w:t>
      </w:r>
      <w:r>
        <w:t xml:space="preserve">(early 2026 disclosure).</w:t>
      </w:r>
      <w:r>
        <w:t xml:space="preserve"> </w:t>
      </w:r>
      <w:hyperlink r:id="rId49">
        <w:r>
          <w:rPr>
            <w:rStyle w:val="Hyperlink"/>
          </w:rPr>
          <w:t xml:space="preserve">[32]</w:t>
        </w:r>
      </w:hyperlink>
      <w:r>
        <w:br/>
      </w:r>
      <w:r>
        <w:t xml:space="preserve">Hidden-danger checks: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Dilution/share count trend:</w:t>
      </w:r>
      <w:r>
        <w:t xml:space="preserve"> </w:t>
      </w:r>
      <w:r>
        <w:t xml:space="preserve">a quarterly report shows issued shares rising from</w:t>
      </w:r>
      <w:r>
        <w:t xml:space="preserve"> </w:t>
      </w:r>
      <w:r>
        <w:rPr>
          <w:b/>
          <w:bCs/>
        </w:rPr>
        <w:t xml:space="preserve">~1.167B (2024)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~1.213B (2025)</w:t>
      </w:r>
      <w:r>
        <w:t xml:space="preserve"> </w:t>
      </w:r>
      <w:r>
        <w:t xml:space="preserve">and explicitly includes “Common Stock issued for CrownRock Acquisition,” i.e., acquisition-driven dilution risk.</w:t>
      </w:r>
      <w:r>
        <w:t xml:space="preserve"> </w:t>
      </w:r>
      <w:hyperlink r:id="rId38">
        <w:r>
          <w:rPr>
            <w:rStyle w:val="Hyperlink"/>
          </w:rPr>
          <w:t xml:space="preserve">[33]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Buyback capacity exists but may be constrained by priorities:</w:t>
      </w:r>
      <w:r>
        <w:t xml:space="preserve"> </w:t>
      </w:r>
      <w:r>
        <w:t xml:space="preserve">filings referenced remaining repurchase authorization as of Dec 31, 2025.</w:t>
      </w:r>
      <w:r>
        <w:t xml:space="preserve"> </w:t>
      </w:r>
      <w:hyperlink r:id="rId50">
        <w:r>
          <w:rPr>
            <w:rStyle w:val="Hyperlink"/>
          </w:rPr>
          <w:t xml:space="preserve">[34]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Short interest:</w:t>
      </w:r>
      <w:r>
        <w:t xml:space="preserve"> </w:t>
      </w:r>
      <w:r>
        <w:t xml:space="preserve">modest (~2.9% of float).</w:t>
      </w:r>
      <w:r>
        <w:t xml:space="preserve"> </w:t>
      </w:r>
      <w:hyperlink r:id="rId51">
        <w:r>
          <w:rPr>
            <w:rStyle w:val="Hyperlink"/>
          </w:rPr>
          <w:t xml:space="preserve">[35]</w:t>
        </w:r>
      </w:hyperlink>
      <w:r>
        <w:br/>
      </w:r>
      <w:r>
        <w:t xml:space="preserve">Oil-risk backdrop support:</w:t>
      </w:r>
      <w:r>
        <w:t xml:space="preserve"> </w:t>
      </w:r>
      <w:r>
        <w:t xml:space="preserve">- Reuters described a steep rise in 2026 oil price forecasts under disruption risk, reinforcing why “oil may stay high” is not a fringe scenario.</w:t>
      </w:r>
      <w:r>
        <w:t xml:space="preserve"> </w:t>
      </w:r>
      <w:hyperlink r:id="rId28">
        <w:r>
          <w:rPr>
            <w:rStyle w:val="Hyperlink"/>
          </w:rPr>
          <w:t xml:space="preserve">[6]</w:t>
        </w:r>
      </w:hyperlink>
      <w:r>
        <w:br/>
      </w:r>
      <w:r>
        <w:t xml:space="preserve">Entry plan: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Time-to-entry:</w:t>
      </w:r>
      <w:r>
        <w:t xml:space="preserve"> </w:t>
      </w:r>
      <w:r>
        <w:t xml:space="preserve">buy in</w:t>
      </w:r>
      <w:r>
        <w:t xml:space="preserve"> </w:t>
      </w:r>
      <w:r>
        <w:rPr>
          <w:b/>
          <w:bCs/>
        </w:rPr>
        <w:t xml:space="preserve">two tranches</w:t>
      </w:r>
      <w:r>
        <w:t xml:space="preserve"> </w:t>
      </w:r>
      <w:r>
        <w:t xml:space="preserve">(50% now / 50% on pullback), because energy names can gap on headlines.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Stops:</w:t>
      </w:r>
      <w:r>
        <w:t xml:space="preserve"> </w:t>
      </w:r>
      <w:r>
        <w:t xml:space="preserve">15–20% closing stop (energy volatility), but sized so stop-out costs ≈$500–$700.</w:t>
      </w:r>
      <w:r>
        <w:br/>
      </w:r>
      <w:r>
        <w:t xml:space="preserve">Bear case:</w:t>
      </w:r>
      <w:r>
        <w:t xml:space="preserve"> </w:t>
      </w:r>
      <w:r>
        <w:t xml:space="preserve">- Oil demand shock (recession), geopolitical de‑escalation that removes risk premium quickly, or renewed equity/dilution funding.</w:t>
      </w:r>
    </w:p>
    <w:p>
      <w:pPr>
        <w:pStyle w:val="BodyText"/>
      </w:pPr>
      <w:r>
        <w:rPr>
          <w:b/>
          <w:bCs/>
        </w:rPr>
        <w:t xml:space="preserve">AER — deep value with a demonstrably shrinking share count</w:t>
      </w:r>
      <w:r>
        <w:br/>
      </w:r>
      <w:r>
        <w:t xml:space="preserve">AerCap is a classic “mispriced balance sheet” candidate: aircraft leasing cash flows + asset sales + aggressive buybacks. It also offers a</w:t>
      </w:r>
      <w:r>
        <w:t xml:space="preserve"> </w:t>
      </w:r>
      <w:r>
        <w:rPr>
          <w:b/>
          <w:bCs/>
        </w:rPr>
        <w:t xml:space="preserve">stabilization upside</w:t>
      </w:r>
      <w:r>
        <w:t xml:space="preserve">: travel normalization improves lease economics even if fuel is high, because lessors are not direct fuel consumers.</w:t>
      </w:r>
    </w:p>
    <w:p>
      <w:pPr>
        <w:pStyle w:val="BodyText"/>
      </w:pPr>
      <w:r>
        <w:t xml:space="preserve">Official disclosures on capital return and leverage:</w:t>
      </w:r>
      <w:r>
        <w:t xml:space="preserve"> </w:t>
      </w:r>
      <w:r>
        <w:t xml:space="preserve">- AerCap reported</w:t>
      </w:r>
      <w:r>
        <w:t xml:space="preserve"> </w:t>
      </w:r>
      <w:r>
        <w:rPr>
          <w:b/>
          <w:bCs/>
        </w:rPr>
        <w:t xml:space="preserve">record 2025 results</w:t>
      </w:r>
      <w:r>
        <w:t xml:space="preserve">, and specifically disclosed returning</w:t>
      </w:r>
      <w:r>
        <w:t xml:space="preserve"> </w:t>
      </w:r>
      <w:r>
        <w:rPr>
          <w:b/>
          <w:bCs/>
        </w:rPr>
        <w:t xml:space="preserve">$2.6B to shareholders during 2025</w:t>
      </w:r>
      <w:r>
        <w:t xml:space="preserve"> </w:t>
      </w:r>
      <w:r>
        <w:t xml:space="preserve">including</w:t>
      </w:r>
      <w:r>
        <w:t xml:space="preserve"> </w:t>
      </w:r>
      <w:r>
        <w:rPr>
          <w:b/>
          <w:bCs/>
        </w:rPr>
        <w:t xml:space="preserve">repurchasing ~22.1M shares</w:t>
      </w:r>
      <w:r>
        <w:t xml:space="preserve"> </w:t>
      </w:r>
      <w:r>
        <w:t xml:space="preserve">at an average price.</w:t>
      </w:r>
      <w:r>
        <w:t xml:space="preserve"> </w:t>
      </w:r>
      <w:hyperlink r:id="rId52">
        <w:r>
          <w:rPr>
            <w:rStyle w:val="Hyperlink"/>
          </w:rPr>
          <w:t xml:space="preserve">[36]</w:t>
        </w:r>
      </w:hyperlink>
      <w:r>
        <w:br/>
      </w:r>
      <w:r>
        <w:t xml:space="preserve">- The same release reports</w:t>
      </w:r>
      <w:r>
        <w:t xml:space="preserve"> </w:t>
      </w:r>
      <w:r>
        <w:rPr>
          <w:b/>
          <w:bCs/>
        </w:rPr>
        <w:t xml:space="preserve">ordinary shares outstanding falling from ~186.8M (Dec 2024) to ~166.9M (Dec 2025)</w:t>
      </w:r>
      <w:r>
        <w:t xml:space="preserve">—a clear anti‑dilution signal.</w:t>
      </w:r>
      <w:r>
        <w:t xml:space="preserve"> </w:t>
      </w:r>
      <w:hyperlink r:id="rId52">
        <w:r>
          <w:rPr>
            <w:rStyle w:val="Hyperlink"/>
          </w:rPr>
          <w:t xml:space="preserve">[36]</w:t>
        </w:r>
      </w:hyperlink>
      <w:r>
        <w:br/>
      </w:r>
      <w:r>
        <w:t xml:space="preserve">- It also reported</w:t>
      </w:r>
      <w:r>
        <w:t xml:space="preserve"> </w:t>
      </w:r>
      <w:r>
        <w:rPr>
          <w:b/>
          <w:bCs/>
        </w:rPr>
        <w:t xml:space="preserve">debt of $43.6B</w:t>
      </w:r>
      <w:r>
        <w:t xml:space="preserve"> </w:t>
      </w:r>
      <w:r>
        <w:t xml:space="preserve">and cash/restricted cash of ~$1.48B at Dec 31, 2025 (leasing businesses run with leverage; what matters is asset coverage and access to funding).</w:t>
      </w:r>
      <w:r>
        <w:t xml:space="preserve"> </w:t>
      </w:r>
      <w:hyperlink r:id="rId52">
        <w:r>
          <w:rPr>
            <w:rStyle w:val="Hyperlink"/>
          </w:rPr>
          <w:t xml:space="preserve">[36]</w:t>
        </w:r>
      </w:hyperlink>
      <w:r>
        <w:br/>
      </w:r>
      <w:r>
        <w:t xml:space="preserve">- AerCap also filed a</w:t>
      </w:r>
      <w:r>
        <w:t xml:space="preserve"> </w:t>
      </w:r>
      <w:r>
        <w:rPr>
          <w:b/>
          <w:bCs/>
        </w:rPr>
        <w:t xml:space="preserve">$1B repurchase program through June 30, 2026</w:t>
      </w:r>
      <w:r>
        <w:t xml:space="preserve">, funded from cash and operations.</w:t>
      </w:r>
      <w:r>
        <w:t xml:space="preserve"> </w:t>
      </w:r>
      <w:hyperlink r:id="rId53">
        <w:r>
          <w:rPr>
            <w:rStyle w:val="Hyperlink"/>
          </w:rPr>
          <w:t xml:space="preserve">[37]</w:t>
        </w:r>
      </w:hyperlink>
      <w:r>
        <w:br/>
      </w:r>
      <w:r>
        <w:t xml:space="preserve">Hidden-danger checks: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Leverage:</w:t>
      </w:r>
      <w:r>
        <w:t xml:space="preserve"> </w:t>
      </w:r>
      <w:r>
        <w:t xml:space="preserve">structurally high; this is not a “no debt” name. The bull case depends on stable funding markets and aircraft demand.</w:t>
      </w:r>
      <w:r>
        <w:t xml:space="preserve"> </w:t>
      </w:r>
      <w:hyperlink r:id="rId52">
        <w:r>
          <w:rPr>
            <w:rStyle w:val="Hyperlink"/>
          </w:rPr>
          <w:t xml:space="preserve">[36]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Dilution:</w:t>
      </w:r>
      <w:r>
        <w:t xml:space="preserve"> </w:t>
      </w:r>
      <w:r>
        <w:t xml:space="preserve">the share count is shrinking materially; dilution is not the near-term red flag.</w:t>
      </w:r>
      <w:r>
        <w:t xml:space="preserve"> </w:t>
      </w:r>
      <w:hyperlink r:id="rId52">
        <w:r>
          <w:rPr>
            <w:rStyle w:val="Hyperlink"/>
          </w:rPr>
          <w:t xml:space="preserve">[36]</w:t>
        </w:r>
      </w:hyperlink>
      <w:r>
        <w:br/>
      </w:r>
      <w:r>
        <w:t xml:space="preserve">Entry plan: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Time-to-entry:</w:t>
      </w:r>
      <w:r>
        <w:t xml:space="preserve"> </w:t>
      </w:r>
      <w:r>
        <w:t xml:space="preserve">establish in</w:t>
      </w:r>
      <w:r>
        <w:t xml:space="preserve"> </w:t>
      </w:r>
      <w:r>
        <w:rPr>
          <w:b/>
          <w:bCs/>
        </w:rPr>
        <w:t xml:space="preserve">1–2 weeks</w:t>
      </w:r>
      <w:r>
        <w:t xml:space="preserve"> </w:t>
      </w:r>
      <w:r>
        <w:t xml:space="preserve">and add on any credit-spread-driven drawdowns (not on airline-specific shocks).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Stops:</w:t>
      </w:r>
      <w:r>
        <w:t xml:space="preserve"> </w:t>
      </w:r>
      <w:r>
        <w:t xml:space="preserve">15% closing stop; if credit spreads widen sharply, reduce before stop.</w:t>
      </w:r>
      <w:r>
        <w:br/>
      </w:r>
      <w:r>
        <w:t xml:space="preserve">Bear case:</w:t>
      </w:r>
      <w:r>
        <w:t xml:space="preserve"> </w:t>
      </w:r>
      <w:r>
        <w:t xml:space="preserve">- Airline defaults/restructurings, aircraft residual value hits, or funding-market stress.</w:t>
      </w:r>
    </w:p>
    <w:p>
      <w:pPr>
        <w:pStyle w:val="BodyText"/>
      </w:pPr>
      <w:r>
        <w:rPr>
          <w:b/>
          <w:bCs/>
        </w:rPr>
        <w:t xml:space="preserve">BKR — “picks and shovels” energy exposure with net share decline</w:t>
      </w:r>
      <w:r>
        <w:br/>
      </w:r>
      <w:r>
        <w:t xml:space="preserve">Baker Hughes gives energy cycle exposure without being a pure commodity bet. In a world where Hormuz risk raises global energy security spending, services and equipment can benefit from sustained upstream and LNG build activity.</w:t>
      </w:r>
    </w:p>
    <w:p>
      <w:pPr>
        <w:pStyle w:val="BodyText"/>
      </w:pPr>
      <w:r>
        <w:t xml:space="preserve">Share count and buybacks (from 10‑K):</w:t>
      </w:r>
      <w:r>
        <w:t xml:space="preserve"> </w:t>
      </w:r>
      <w:r>
        <w:t xml:space="preserve">- The company disclosed repurchasing and canceling</w:t>
      </w:r>
      <w:r>
        <w:t xml:space="preserve"> </w:t>
      </w:r>
      <w:r>
        <w:rPr>
          <w:b/>
          <w:bCs/>
        </w:rPr>
        <w:t xml:space="preserve">~9.8M shares in 2025</w:t>
      </w:r>
      <w:r>
        <w:t xml:space="preserve"> </w:t>
      </w:r>
      <w:r>
        <w:t xml:space="preserve">and showed</w:t>
      </w:r>
      <w:r>
        <w:t xml:space="preserve"> </w:t>
      </w:r>
      <w:r>
        <w:rPr>
          <w:b/>
          <w:bCs/>
        </w:rPr>
        <w:t xml:space="preserve">shares outstanding declining</w:t>
      </w:r>
      <w:r>
        <w:t xml:space="preserve"> </w:t>
      </w:r>
      <w:r>
        <w:t xml:space="preserve">year‑over‑year in the share count table.</w:t>
      </w:r>
      <w:r>
        <w:t xml:space="preserve"> </w:t>
      </w:r>
      <w:hyperlink r:id="rId40">
        <w:r>
          <w:rPr>
            <w:rStyle w:val="Hyperlink"/>
          </w:rPr>
          <w:t xml:space="preserve">[38]</w:t>
        </w:r>
      </w:hyperlink>
      <w:r>
        <w:br/>
      </w:r>
      <w:r>
        <w:t xml:space="preserve">- Remaining repurchase authorization was disclosed at</w:t>
      </w:r>
      <w:r>
        <w:t xml:space="preserve"> </w:t>
      </w:r>
      <w:r>
        <w:rPr>
          <w:b/>
          <w:bCs/>
        </w:rPr>
        <w:t xml:space="preserve">~$1.3B</w:t>
      </w:r>
      <w:r>
        <w:t xml:space="preserve"> </w:t>
      </w:r>
      <w:r>
        <w:t xml:space="preserve">at Dec 31, 2025.</w:t>
      </w:r>
      <w:r>
        <w:t xml:space="preserve"> </w:t>
      </w:r>
      <w:hyperlink r:id="rId40">
        <w:r>
          <w:rPr>
            <w:rStyle w:val="Hyperlink"/>
          </w:rPr>
          <w:t xml:space="preserve">[38]</w:t>
        </w:r>
      </w:hyperlink>
      <w:r>
        <w:br/>
      </w:r>
      <w:r>
        <w:t xml:space="preserve">Balance-sheet check:</w:t>
      </w:r>
      <w:r>
        <w:t xml:space="preserve"> </w:t>
      </w:r>
      <w:r>
        <w:t xml:space="preserve">- Total debt disclosed at</w:t>
      </w:r>
      <w:r>
        <w:t xml:space="preserve"> </w:t>
      </w:r>
      <w:r>
        <w:rPr>
          <w:b/>
          <w:bCs/>
        </w:rPr>
        <w:t xml:space="preserve">~$6.1B</w:t>
      </w:r>
      <w:r>
        <w:t xml:space="preserve"> </w:t>
      </w:r>
      <w:r>
        <w:t xml:space="preserve">at Dec 31, 2025.</w:t>
      </w:r>
      <w:r>
        <w:t xml:space="preserve"> </w:t>
      </w:r>
      <w:hyperlink r:id="rId40">
        <w:r>
          <w:rPr>
            <w:rStyle w:val="Hyperlink"/>
          </w:rPr>
          <w:t xml:space="preserve">[39]</w:t>
        </w:r>
      </w:hyperlink>
      <w:r>
        <w:br/>
      </w:r>
      <w:r>
        <w:t xml:space="preserve">Insider selling check:</w:t>
      </w:r>
      <w:r>
        <w:t xml:space="preserve"> </w:t>
      </w:r>
      <w:r>
        <w:t xml:space="preserve">- Recent Form 4-derived reporting describes insider sales (example executive sale disclosure).</w:t>
      </w:r>
      <w:r>
        <w:t xml:space="preserve"> </w:t>
      </w:r>
      <w:hyperlink r:id="rId54">
        <w:r>
          <w:rPr>
            <w:rStyle w:val="Hyperlink"/>
          </w:rPr>
          <w:t xml:space="preserve">[40]</w:t>
        </w:r>
      </w:hyperlink>
      <w:r>
        <w:br/>
      </w:r>
      <w:r>
        <w:t xml:space="preserve">Entry plan: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Time-to-entry:</w:t>
      </w:r>
      <w:r>
        <w:t xml:space="preserve"> </w:t>
      </w:r>
      <w:r>
        <w:t xml:space="preserve">scale in over</w:t>
      </w:r>
      <w:r>
        <w:t xml:space="preserve"> </w:t>
      </w:r>
      <w:r>
        <w:rPr>
          <w:b/>
          <w:bCs/>
        </w:rPr>
        <w:t xml:space="preserve">2–3 weeks</w:t>
      </w:r>
      <w:r>
        <w:t xml:space="preserve">; BKR tends to mean‑revert around earnings and oil headlines.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Stops:</w:t>
      </w:r>
      <w:r>
        <w:t xml:space="preserve"> </w:t>
      </w:r>
      <w:r>
        <w:t xml:space="preserve">12–15% closing stop; if energy services indices break major support, reduce.</w:t>
      </w:r>
      <w:r>
        <w:br/>
      </w:r>
      <w:r>
        <w:t xml:space="preserve">Bear case:</w:t>
      </w:r>
      <w:r>
        <w:t xml:space="preserve"> </w:t>
      </w:r>
      <w:r>
        <w:t xml:space="preserve">- Capex cycle turns; LNG project delays; energy services valuation compresses even if oil is high.</w:t>
      </w:r>
    </w:p>
    <w:bookmarkEnd w:id="55"/>
    <w:bookmarkStart w:id="63" w:name="satellite-positions"/>
    <w:p>
      <w:pPr>
        <w:pStyle w:val="Heading3"/>
      </w:pPr>
      <w:r>
        <w:t xml:space="preserve">Satellite positions</w:t>
      </w:r>
    </w:p>
    <w:p>
      <w:pPr>
        <w:pStyle w:val="FirstParagraph"/>
      </w:pPr>
      <w:r>
        <w:t xml:space="preserve">These positions enhance convexity or act as hedges against specific failure modes of the top five.</w:t>
      </w:r>
    </w:p>
    <w:p>
      <w:pPr>
        <w:pStyle w:val="BodyText"/>
      </w:pPr>
      <w:r>
        <w:rPr>
          <w:b/>
          <w:bCs/>
        </w:rPr>
        <w:t xml:space="preserve">NVDA</w:t>
      </w:r>
      <w:r>
        <w:br/>
      </w:r>
      <w:r>
        <w:t xml:space="preserve">- Fundamental momentum is extremely strong in recent results disclosures (record fiscal 2026 revenue and high gross margins).</w:t>
      </w:r>
      <w:r>
        <w:t xml:space="preserve"> </w:t>
      </w:r>
      <w:hyperlink r:id="rId56">
        <w:r>
          <w:rPr>
            <w:rStyle w:val="Hyperlink"/>
          </w:rPr>
          <w:t xml:space="preserve">[41]</w:t>
        </w:r>
      </w:hyperlink>
      <w:r>
        <w:br/>
      </w:r>
      <w:r>
        <w:t xml:space="preserve">- Buybacks are massive: board added</w:t>
      </w:r>
      <w:r>
        <w:t xml:space="preserve"> </w:t>
      </w:r>
      <w:r>
        <w:rPr>
          <w:b/>
          <w:bCs/>
        </w:rPr>
        <w:t xml:space="preserve">$60B authorization</w:t>
      </w:r>
      <w:r>
        <w:t xml:space="preserve">, and the company repurchased</w:t>
      </w:r>
      <w:r>
        <w:t xml:space="preserve"> </w:t>
      </w:r>
      <w:r>
        <w:rPr>
          <w:b/>
          <w:bCs/>
        </w:rPr>
        <w:t xml:space="preserve">$40.4B</w:t>
      </w:r>
      <w:r>
        <w:t xml:space="preserve"> </w:t>
      </w:r>
      <w:r>
        <w:t xml:space="preserve">in FY2026; cash + marketable securities were</w:t>
      </w:r>
      <w:r>
        <w:t xml:space="preserve"> </w:t>
      </w:r>
      <w:r>
        <w:rPr>
          <w:b/>
          <w:bCs/>
        </w:rPr>
        <w:t xml:space="preserve">$62.6B</w:t>
      </w:r>
      <w:r>
        <w:t xml:space="preserve"> </w:t>
      </w:r>
      <w:r>
        <w:t xml:space="preserve">with net carrying debt</w:t>
      </w:r>
      <w:r>
        <w:t xml:space="preserve"> </w:t>
      </w:r>
      <w:r>
        <w:rPr>
          <w:b/>
          <w:bCs/>
        </w:rPr>
        <w:t xml:space="preserve">~$8.47B</w:t>
      </w:r>
      <w:r>
        <w:t xml:space="preserve">.</w:t>
      </w:r>
      <w:r>
        <w:t xml:space="preserve"> </w:t>
      </w:r>
      <w:hyperlink r:id="rId57">
        <w:r>
          <w:rPr>
            <w:rStyle w:val="Hyperlink"/>
          </w:rPr>
          <w:t xml:space="preserve">[42]</w:t>
        </w:r>
      </w:hyperlink>
      <w:r>
        <w:br/>
      </w:r>
      <w:r>
        <w:t xml:space="preserve">- Hidden risks: valuation sensitivity (P/E in mid‑40s in quote snapshot) and heavy insider selling optics in some feeds.</w:t>
      </w:r>
      <w:r>
        <w:t xml:space="preserve"> </w:t>
      </w:r>
      <w:hyperlink r:id="rId58">
        <w:r>
          <w:rPr>
            <w:rStyle w:val="Hyperlink"/>
          </w:rPr>
          <w:t xml:space="preserve">[43]</w:t>
        </w:r>
      </w:hyperlink>
    </w:p>
    <w:p>
      <w:pPr>
        <w:pStyle w:val="BodyText"/>
      </w:pPr>
      <w:r>
        <w:rPr>
          <w:b/>
          <w:bCs/>
        </w:rPr>
        <w:t xml:space="preserve">RTX</w:t>
      </w:r>
      <w:r>
        <w:br/>
      </w:r>
      <w:r>
        <w:t xml:space="preserve">- RTX discloses substantial leverage (total debt and cash shown in the 10‑K).</w:t>
      </w:r>
      <w:r>
        <w:t xml:space="preserve"> </w:t>
      </w:r>
      <w:hyperlink r:id="rId59">
        <w:r>
          <w:rPr>
            <w:rStyle w:val="Hyperlink"/>
          </w:rPr>
          <w:t xml:space="preserve">[44]</w:t>
        </w:r>
      </w:hyperlink>
      <w:r>
        <w:br/>
      </w:r>
      <w:r>
        <w:t xml:space="preserve">- It highlights risks from prior accelerated repurchases and even describes potential governmental constraints on dividends/buybacks in its risk disclosures.</w:t>
      </w:r>
      <w:r>
        <w:t xml:space="preserve"> </w:t>
      </w:r>
      <w:hyperlink r:id="rId59">
        <w:r>
          <w:rPr>
            <w:rStyle w:val="Hyperlink"/>
          </w:rPr>
          <w:t xml:space="preserve">[45]</w:t>
        </w:r>
      </w:hyperlink>
      <w:r>
        <w:br/>
      </w:r>
      <w:r>
        <w:t xml:space="preserve">- Role in portfolio: a partial</w:t>
      </w:r>
      <w:r>
        <w:t xml:space="preserve"> </w:t>
      </w:r>
      <w:r>
        <w:rPr>
          <w:b/>
          <w:bCs/>
        </w:rPr>
        <w:t xml:space="preserve">“war hedge”</w:t>
      </w:r>
      <w:r>
        <w:t xml:space="preserve"> </w:t>
      </w:r>
      <w:r>
        <w:t xml:space="preserve">that should not rely on oil falling.</w:t>
      </w:r>
    </w:p>
    <w:p>
      <w:pPr>
        <w:pStyle w:val="BodyText"/>
      </w:pPr>
      <w:r>
        <w:rPr>
          <w:b/>
          <w:bCs/>
        </w:rPr>
        <w:t xml:space="preserve">PLTR</w:t>
      </w:r>
      <w:r>
        <w:br/>
      </w:r>
      <w:r>
        <w:t xml:space="preserve">- Very high valuation in the quote snapshot (P/E extremely elevated) implies multiple-contraction risk if risk-off persists.</w:t>
      </w:r>
      <w:r>
        <w:br/>
      </w:r>
      <w:r>
        <w:t xml:space="preserve">- Dilution/stock comp: stock-based comp expense is large and explicitly disclosed.</w:t>
      </w:r>
      <w:r>
        <w:t xml:space="preserve"> </w:t>
      </w:r>
      <w:hyperlink r:id="rId39">
        <w:r>
          <w:rPr>
            <w:rStyle w:val="Hyperlink"/>
          </w:rPr>
          <w:t xml:space="preserve">[46]</w:t>
        </w:r>
      </w:hyperlink>
      <w:r>
        <w:br/>
      </w:r>
      <w:r>
        <w:t xml:space="preserve">- Insider selling is significant in aggregated feeds, and 2025 share repurchases were comparatively small and then terminated in Jan 2026.</w:t>
      </w:r>
      <w:r>
        <w:t xml:space="preserve"> </w:t>
      </w:r>
      <w:hyperlink r:id="rId60">
        <w:r>
          <w:rPr>
            <w:rStyle w:val="Hyperlink"/>
          </w:rPr>
          <w:t xml:space="preserve">[47]</w:t>
        </w:r>
      </w:hyperlink>
      <w:r>
        <w:br/>
      </w:r>
      <w:r>
        <w:t xml:space="preserve">- Balance sheet: credit facility exists but was undrawn as of Dec 31, 2025.</w:t>
      </w:r>
      <w:r>
        <w:t xml:space="preserve"> </w:t>
      </w:r>
      <w:hyperlink r:id="rId39">
        <w:r>
          <w:rPr>
            <w:rStyle w:val="Hyperlink"/>
          </w:rPr>
          <w:t xml:space="preserve">[48]</w:t>
        </w:r>
      </w:hyperlink>
    </w:p>
    <w:p>
      <w:pPr>
        <w:pStyle w:val="BodyText"/>
      </w:pPr>
      <w:r>
        <w:rPr>
          <w:b/>
          <w:bCs/>
        </w:rPr>
        <w:t xml:space="preserve">STNG</w:t>
      </w:r>
      <w:r>
        <w:br/>
      </w:r>
      <w:r>
        <w:t xml:space="preserve">- STNG provides</w:t>
      </w:r>
      <w:r>
        <w:t xml:space="preserve"> </w:t>
      </w:r>
      <w:r>
        <w:rPr>
          <w:b/>
          <w:bCs/>
        </w:rPr>
        <w:t xml:space="preserve">convexity to shipping/freight conditions</w:t>
      </w:r>
      <w:r>
        <w:t xml:space="preserve"> </w:t>
      </w:r>
      <w:r>
        <w:t xml:space="preserve">(geopolitics can raise shipping costs/insurance and tighten supply).</w:t>
      </w:r>
      <w:r>
        <w:br/>
      </w:r>
      <w:r>
        <w:t xml:space="preserve">- 20‑F shows 2025 repurchases (small volume in 2025) and remaining authorization</w:t>
      </w:r>
      <w:r>
        <w:t xml:space="preserve"> </w:t>
      </w:r>
      <w:r>
        <w:rPr>
          <w:b/>
          <w:bCs/>
        </w:rPr>
        <w:t xml:space="preserve">$173.4M</w:t>
      </w:r>
      <w:r>
        <w:t xml:space="preserve">; it also shows</w:t>
      </w:r>
      <w:r>
        <w:t xml:space="preserve"> </w:t>
      </w:r>
      <w:r>
        <w:rPr>
          <w:b/>
          <w:bCs/>
        </w:rPr>
        <w:t xml:space="preserve">shares outstanding</w:t>
      </w:r>
      <w:r>
        <w:t xml:space="preserve"> </w:t>
      </w:r>
      <w:r>
        <w:t xml:space="preserve">and detailed debt totals (</w:t>
      </w:r>
      <w:r>
        <w:rPr>
          <w:b/>
          <w:bCs/>
        </w:rPr>
        <w:t xml:space="preserve">$619.2M</w:t>
      </w:r>
      <w:r>
        <w:t xml:space="preserve"> </w:t>
      </w:r>
      <w:r>
        <w:t xml:space="preserve">at Dec 31, 2025) and liabilities.</w:t>
      </w:r>
      <w:r>
        <w:t xml:space="preserve"> </w:t>
      </w:r>
      <w:hyperlink r:id="rId61">
        <w:r>
          <w:rPr>
            <w:rStyle w:val="Hyperlink"/>
          </w:rPr>
          <w:t xml:space="preserve">[49]</w:t>
        </w:r>
      </w:hyperlink>
      <w:r>
        <w:br/>
      </w:r>
      <w:r>
        <w:t xml:space="preserve">- 2026 corporate action catalyst: vessel sale agreements disclosed (two MR tankers at $35M each, expected to close in Q2 2026).</w:t>
      </w:r>
      <w:r>
        <w:t xml:space="preserve"> </w:t>
      </w:r>
      <w:hyperlink r:id="rId62">
        <w:r>
          <w:rPr>
            <w:rStyle w:val="Hyperlink"/>
          </w:rPr>
          <w:t xml:space="preserve">[50]</w:t>
        </w:r>
      </w:hyperlink>
    </w:p>
    <w:bookmarkEnd w:id="63"/>
    <w:bookmarkEnd w:id="64"/>
    <w:bookmarkStart w:id="68" w:name="X70a39b18290a677bb9359685494e04e21f4cfb6"/>
    <w:p>
      <w:pPr>
        <w:pStyle w:val="Heading2"/>
      </w:pPr>
      <w:r>
        <w:t xml:space="preserve">Catalysts, monitoring triggers, and exit rules</w:t>
      </w:r>
    </w:p>
    <w:bookmarkStart w:id="65" w:name="catalyst-timeline"/>
    <w:p>
      <w:pPr>
        <w:pStyle w:val="Heading3"/>
      </w:pPr>
      <w:r>
        <w:t xml:space="preserve">2026 catalyst timeline</w:t>
      </w:r>
    </w:p>
    <w:p>
      <w:pPr>
        <w:pStyle w:val="SourceCode"/>
      </w:pPr>
      <w:r>
        <w:rPr>
          <w:rStyle w:val="VerbatimChar"/>
        </w:rPr>
        <w:t xml:space="preserve">timeline</w:t>
      </w:r>
      <w:r>
        <w:br/>
      </w:r>
      <w:r>
        <w:rPr>
          <w:rStyle w:val="VerbatimChar"/>
        </w:rPr>
        <w:t xml:space="preserve">  title Key 2026 catalysts to monitor</w:t>
      </w:r>
      <w:r>
        <w:br/>
      </w:r>
      <w:r>
        <w:rPr>
          <w:rStyle w:val="VerbatimChar"/>
        </w:rPr>
        <w:t xml:space="preserve">  2026 Q2 : BKNG begins split-adjusted trading (Apr 6) and post-split liquidity effects</w:t>
      </w:r>
      <w:r>
        <w:br/>
      </w:r>
      <w:r>
        <w:rPr>
          <w:rStyle w:val="VerbatimChar"/>
        </w:rPr>
        <w:t xml:space="preserve">  2026 H1 : AER repurchase program window (through Jun 30, 2026)</w:t>
      </w:r>
      <w:r>
        <w:br/>
      </w:r>
      <w:r>
        <w:rPr>
          <w:rStyle w:val="VerbatimChar"/>
        </w:rPr>
        <w:t xml:space="preserve">  2026 H1 : LNG permitting/expansion progress; buyback step-change implementation</w:t>
      </w:r>
      <w:r>
        <w:br/>
      </w:r>
      <w:r>
        <w:rPr>
          <w:rStyle w:val="VerbatimChar"/>
        </w:rPr>
        <w:t xml:space="preserve">  2026 Q2 : STNG vessel sale closings (expected Q2 2026)</w:t>
      </w:r>
      <w:r>
        <w:br/>
      </w:r>
      <w:r>
        <w:rPr>
          <w:rStyle w:val="VerbatimChar"/>
        </w:rPr>
        <w:t xml:space="preserve">  2026 H2 : OXY debt trajectory vs $15B goalpost and potential return-of-capital cadence</w:t>
      </w:r>
      <w:r>
        <w:br/>
      </w:r>
      <w:r>
        <w:rPr>
          <w:rStyle w:val="VerbatimChar"/>
        </w:rPr>
        <w:t xml:space="preserve">  2026 Full Year : Volatility-driven re-rating windows across NVDA/PLTR and cyclicals</w:t>
      </w:r>
    </w:p>
    <w:bookmarkEnd w:id="65"/>
    <w:bookmarkStart w:id="66" w:name="X8d9c8e0ba49215766bb351330924d10f9cec03d"/>
    <w:p>
      <w:pPr>
        <w:pStyle w:val="Heading3"/>
      </w:pPr>
      <w:r>
        <w:t xml:space="preserve">Monitoring triggers (what would change the trade)</w:t>
      </w:r>
    </w:p>
    <w:p>
      <w:pPr>
        <w:pStyle w:val="FirstParagraph"/>
      </w:pPr>
      <w:r>
        <w:rPr>
          <w:b/>
          <w:bCs/>
        </w:rPr>
        <w:t xml:space="preserve">Macro triggers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Any credible “reopening” / durable security arrangement</w:t>
      </w:r>
      <w:r>
        <w:t xml:space="preserve"> </w:t>
      </w:r>
      <w:r>
        <w:t xml:space="preserve">changes the risk premium; energy/shipping may cool, travel may rip.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Oil price + vol regime shift:</w:t>
      </w:r>
      <w:r>
        <w:t xml:space="preserve"> </w:t>
      </w:r>
      <w:r>
        <w:t xml:space="preserve">if high oil starts to drive recession indicators, cut cyclicals first and protect capital.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EIA STEO language changes</w:t>
      </w:r>
      <w:r>
        <w:t xml:space="preserve"> </w:t>
      </w:r>
      <w:r>
        <w:t xml:space="preserve">on chokepoint risk and LNG flow impacts can be a useful “official baseline” monitor.</w:t>
      </w:r>
      <w:r>
        <w:t xml:space="preserve"> </w:t>
      </w:r>
      <w:hyperlink r:id="rId27">
        <w:r>
          <w:rPr>
            <w:rStyle w:val="Hyperlink"/>
          </w:rPr>
          <w:t xml:space="preserve">[5]</w:t>
        </w:r>
      </w:hyperlink>
    </w:p>
    <w:p>
      <w:pPr>
        <w:pStyle w:val="BodyText"/>
      </w:pPr>
      <w:r>
        <w:rPr>
          <w:b/>
          <w:bCs/>
        </w:rPr>
        <w:t xml:space="preserve">Company triggers</w:t>
      </w:r>
      <w:r>
        <w:t xml:space="preserve"> </w:t>
      </w:r>
      <w:r>
        <w:t xml:space="preserve">- BKNG: buyback cadence slows materially, or bookings trend breaks; watch whether cost savings targets remain on track.</w:t>
      </w:r>
      <w:r>
        <w:t xml:space="preserve"> </w:t>
      </w:r>
      <w:hyperlink r:id="rId48">
        <w:r>
          <w:rPr>
            <w:rStyle w:val="Hyperlink"/>
          </w:rPr>
          <w:t xml:space="preserve">[26]</w:t>
        </w:r>
      </w:hyperlink>
      <w:r>
        <w:br/>
      </w:r>
      <w:r>
        <w:t xml:space="preserve">- LNG: any adverse FERC/DOE pathway updates; the 10‑K emphasizes dependence on approvals and the active pipeline of applications.</w:t>
      </w:r>
      <w:r>
        <w:t xml:space="preserve"> </w:t>
      </w:r>
      <w:hyperlink r:id="rId37">
        <w:r>
          <w:rPr>
            <w:rStyle w:val="Hyperlink"/>
          </w:rPr>
          <w:t xml:space="preserve">[30]</w:t>
        </w:r>
      </w:hyperlink>
      <w:r>
        <w:br/>
      </w:r>
      <w:r>
        <w:t xml:space="preserve">- OXY: debt reduction stalls or new equity issuance resumes; share issuance tied to CrownRock is a key historical dilution marker.</w:t>
      </w:r>
      <w:r>
        <w:t xml:space="preserve"> </w:t>
      </w:r>
      <w:hyperlink r:id="rId38">
        <w:r>
          <w:rPr>
            <w:rStyle w:val="Hyperlink"/>
          </w:rPr>
          <w:t xml:space="preserve">[51]</w:t>
        </w:r>
      </w:hyperlink>
      <w:r>
        <w:br/>
      </w:r>
      <w:r>
        <w:t xml:space="preserve">- AER: large impairment/restructuring wave in airline customers vs stated earnings outlook and capital return.</w:t>
      </w:r>
      <w:r>
        <w:t xml:space="preserve"> </w:t>
      </w:r>
      <w:hyperlink r:id="rId52">
        <w:r>
          <w:rPr>
            <w:rStyle w:val="Hyperlink"/>
          </w:rPr>
          <w:t xml:space="preserve">[36]</w:t>
        </w:r>
      </w:hyperlink>
      <w:r>
        <w:br/>
      </w:r>
      <w:r>
        <w:t xml:space="preserve">- NVDA/PLTR: valuation regime shifts; insider selling clustering increases headline risk.</w:t>
      </w:r>
      <w:r>
        <w:t xml:space="preserve"> </w:t>
      </w:r>
      <w:hyperlink r:id="rId58">
        <w:r>
          <w:rPr>
            <w:rStyle w:val="Hyperlink"/>
          </w:rPr>
          <w:t xml:space="preserve">[52]</w:t>
        </w:r>
      </w:hyperlink>
    </w:p>
    <w:bookmarkEnd w:id="66"/>
    <w:bookmarkStart w:id="67" w:name="exit-rules-pragmatic-trader-version"/>
    <w:p>
      <w:pPr>
        <w:pStyle w:val="Heading3"/>
      </w:pPr>
      <w:r>
        <w:t xml:space="preserve">Exit rules (pragmatic trader version)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Take-profit ladder:</w:t>
      </w:r>
      <w:r>
        <w:t xml:space="preserve"> </w:t>
      </w:r>
      <w:r>
        <w:t xml:space="preserve">sell 25% at</w:t>
      </w:r>
      <w:r>
        <w:t xml:space="preserve"> </w:t>
      </w:r>
      <w:r>
        <w:rPr>
          <w:b/>
          <w:bCs/>
        </w:rPr>
        <w:t xml:space="preserve">+20%</w:t>
      </w:r>
      <w:r>
        <w:t xml:space="preserve">, 25% at</w:t>
      </w:r>
      <w:r>
        <w:t xml:space="preserve"> </w:t>
      </w:r>
      <w:r>
        <w:rPr>
          <w:b/>
          <w:bCs/>
        </w:rPr>
        <w:t xml:space="preserve">+35%</w:t>
      </w:r>
      <w:r>
        <w:t xml:space="preserve">, and let the rest ride with a</w:t>
      </w:r>
      <w:r>
        <w:t xml:space="preserve"> </w:t>
      </w:r>
      <w:r>
        <w:rPr>
          <w:b/>
          <w:bCs/>
        </w:rPr>
        <w:t xml:space="preserve">trailing stop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Time stop:</w:t>
      </w:r>
      <w:r>
        <w:t xml:space="preserve"> </w:t>
      </w:r>
      <w:r>
        <w:t xml:space="preserve">if a position is flat/down after</w:t>
      </w:r>
      <w:r>
        <w:t xml:space="preserve"> </w:t>
      </w:r>
      <w:r>
        <w:rPr>
          <w:b/>
          <w:bCs/>
        </w:rPr>
        <w:t xml:space="preserve">two earnings cycles</w:t>
      </w:r>
      <w:r>
        <w:t xml:space="preserve"> </w:t>
      </w:r>
      <w:r>
        <w:t xml:space="preserve">and catalysts are not improving, recycle capital.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 discipline:</w:t>
      </w:r>
      <w:r>
        <w:t xml:space="preserve"> </w:t>
      </w:r>
      <w:r>
        <w:t xml:space="preserve">once a name reaches</w:t>
      </w:r>
      <w:r>
        <w:t xml:space="preserve"> </w:t>
      </w:r>
      <w:r>
        <w:rPr>
          <w:b/>
          <w:bCs/>
        </w:rPr>
        <w:t xml:space="preserve">~80–90% of target</w:t>
      </w:r>
      <w:r>
        <w:t xml:space="preserve">, shift from “target” mindset to “trend + trailing stop,” because parabolic headlines can overshoot targets in geopolitical regimes.</w:t>
      </w:r>
    </w:p>
    <w:bookmarkEnd w:id="67"/>
    <w:bookmarkEnd w:id="68"/>
    <w:bookmarkStart w:id="71" w:name="X051cd9e95ddc086a379d392bfce5c141a86d037"/>
    <w:p>
      <w:pPr>
        <w:pStyle w:val="Heading2"/>
      </w:pPr>
      <w:r>
        <w:t xml:space="preserve">Portfolio-level bear case and scenario stress test</w:t>
      </w:r>
    </w:p>
    <w:bookmarkStart w:id="69" w:name="the-main-ways-this-portfolio-fails"/>
    <w:p>
      <w:pPr>
        <w:pStyle w:val="Heading3"/>
      </w:pPr>
      <w:r>
        <w:t xml:space="preserve">The main ways this portfolio fails</w:t>
      </w:r>
    </w:p>
    <w:p>
      <w:pPr>
        <w:pStyle w:val="FirstParagraph"/>
      </w:pPr>
      <w:r>
        <w:t xml:space="preserve">1)</w:t>
      </w:r>
      <w:r>
        <w:t xml:space="preserve"> </w:t>
      </w:r>
      <w:r>
        <w:rPr>
          <w:b/>
          <w:bCs/>
        </w:rPr>
        <w:t xml:space="preserve">True recession shock from sustained oil spike</w:t>
      </w:r>
      <w:r>
        <w:br/>
      </w:r>
      <w:r>
        <w:t xml:space="preserve">An oil-driven recession can hit</w:t>
      </w:r>
      <w:r>
        <w:t xml:space="preserve"> </w:t>
      </w:r>
      <w:r>
        <w:rPr>
          <w:b/>
          <w:bCs/>
        </w:rPr>
        <w:t xml:space="preserve">travel cyclicals</w:t>
      </w:r>
      <w:r>
        <w:t xml:space="preserve"> </w:t>
      </w:r>
      <w:r>
        <w:t xml:space="preserve">and compress high multiple names simultaneously. Reuters and EIA both emphasize how chokepoint disruptions can propagate into broader macro stress through energy markets.</w:t>
      </w:r>
      <w:r>
        <w:t xml:space="preserve"> </w:t>
      </w:r>
      <w:hyperlink r:id="rId28">
        <w:r>
          <w:rPr>
            <w:rStyle w:val="Hyperlink"/>
          </w:rPr>
          <w:t xml:space="preserve">[9]</w:t>
        </w:r>
      </w:hyperlink>
    </w:p>
    <w:p>
      <w:pPr>
        <w:pStyle w:val="BodyText"/>
      </w:pPr>
      <w:r>
        <w:t xml:space="preserve">2)</w:t>
      </w:r>
      <w:r>
        <w:t xml:space="preserve"> </w:t>
      </w:r>
      <w:r>
        <w:rPr>
          <w:b/>
          <w:bCs/>
        </w:rPr>
        <w:t xml:space="preserve">Fast, durable geopolitical settlement that collapses risk premium</w:t>
      </w:r>
      <w:r>
        <w:br/>
      </w:r>
      <w:r>
        <w:t xml:space="preserve">Energy torque names (OXY, BKR, STNG) can drop fast if the market prices in normalization. This is one reason BKNG/AER are included as “beneficiaries of stabilization.”</w:t>
      </w:r>
    </w:p>
    <w:p>
      <w:pPr>
        <w:pStyle w:val="BodyText"/>
      </w:pPr>
      <w:r>
        <w:t xml:space="preserve">3)</w:t>
      </w:r>
      <w:r>
        <w:t xml:space="preserve"> </w:t>
      </w:r>
      <w:r>
        <w:rPr>
          <w:b/>
          <w:bCs/>
        </w:rPr>
        <w:t xml:space="preserve">Hidden dilution + insider selling optics in momentum names</w:t>
      </w:r>
      <w:r>
        <w:br/>
      </w:r>
      <w:r>
        <w:t xml:space="preserve">PLTR is the clearest case: share count increased year over year for Class A, stock comp is large, repurchases were modest and later terminated, and insider selling is prominent in feeds.</w:t>
      </w:r>
      <w:r>
        <w:t xml:space="preserve"> </w:t>
      </w:r>
      <w:hyperlink r:id="rId39">
        <w:r>
          <w:rPr>
            <w:rStyle w:val="Hyperlink"/>
          </w:rPr>
          <w:t xml:space="preserve">[53]</w:t>
        </w:r>
      </w:hyperlink>
    </w:p>
    <w:bookmarkEnd w:id="69"/>
    <w:bookmarkStart w:id="70" w:name="stress-test-interpretation"/>
    <w:p>
      <w:pPr>
        <w:pStyle w:val="Heading3"/>
      </w:pPr>
      <w:r>
        <w:t xml:space="preserve">Stress-test interpretation</w:t>
      </w:r>
    </w:p>
    <w:p>
      <w:pPr>
        <w:pStyle w:val="Compact"/>
        <w:numPr>
          <w:ilvl w:val="0"/>
          <w:numId w:val="1002"/>
        </w:numPr>
      </w:pPr>
      <w:r>
        <w:t xml:space="preserve">In a “war persists / oil high” base case, the portfolio expects</w:t>
      </w:r>
      <w:r>
        <w:t xml:space="preserve"> </w:t>
      </w:r>
      <w:r>
        <w:rPr>
          <w:b/>
          <w:bCs/>
        </w:rPr>
        <w:t xml:space="preserve">energy/security to carry</w:t>
      </w:r>
      <w:r>
        <w:t xml:space="preserve"> </w:t>
      </w:r>
      <w:r>
        <w:t xml:space="preserve">while cyclicals grind.</w:t>
      </w:r>
    </w:p>
    <w:p>
      <w:pPr>
        <w:pStyle w:val="Compact"/>
        <w:numPr>
          <w:ilvl w:val="0"/>
          <w:numId w:val="1002"/>
        </w:numPr>
      </w:pPr>
      <w:r>
        <w:t xml:space="preserve">In a “stabilization + risk-on” case, BKNG/AER/NVDA can drive outsized upside while energy becomes a ballast or trims.</w:t>
      </w:r>
    </w:p>
    <w:p>
      <w:pPr>
        <w:pStyle w:val="Compact"/>
        <w:numPr>
          <w:ilvl w:val="0"/>
          <w:numId w:val="1002"/>
        </w:numPr>
      </w:pPr>
      <w:r>
        <w:t xml:space="preserve">In a “recession” case, you must rely on</w:t>
      </w:r>
      <w:r>
        <w:t xml:space="preserve"> </w:t>
      </w:r>
      <w:r>
        <w:rPr>
          <w:b/>
          <w:bCs/>
        </w:rPr>
        <w:t xml:space="preserve">stops + exposure reduction rules</w:t>
      </w:r>
      <w:r>
        <w:t xml:space="preserve">; without them, aiming for +40% can easily turn into a large drawdown.</w:t>
      </w:r>
    </w:p>
    <w:p>
      <w:pPr>
        <w:pStyle w:val="FirstParagraph"/>
      </w:pPr>
      <w:r>
        <w:t xml:space="preserve">navlistRecent reporting most relevant to the macro thesisturn0news41,turn0news49,turn0news48,turn0news47</w:t>
      </w:r>
    </w:p>
    <w:bookmarkEnd w:id="70"/>
    <w:bookmarkEnd w:id="71"/>
    <w:bookmarkEnd w:id="72"/>
    <w:bookmarkEnd w:id="73"/>
    <w:p>
      <w:r>
        <w:pict>
          <v:rect style="width:0;height:1.5pt" o:hralign="center" o:hrstd="t" o:hr="t"/>
        </w:pict>
      </w:r>
    </w:p>
    <w:bookmarkStart w:id="74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1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https://www.eia.gov/todayinenergy/detail.php?id=65504</w:t>
      </w:r>
    </w:p>
    <w:p>
      <w:pPr>
        <w:pStyle w:val="BodyText"/>
      </w:pPr>
      <w:hyperlink r:id="rId21">
        <w:r>
          <w:rPr>
            <w:rStyle w:val="Hyperlink"/>
          </w:rPr>
          <w:t xml:space="preserve">https://www.eia.gov/todayinenergy/detail.php?id=65504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2">
        <w:r>
          <w:rPr>
            <w:rStyle w:val="Hyperlink"/>
          </w:rPr>
          <w:t xml:space="preserve">[7]</w:t>
        </w:r>
      </w:hyperlink>
      <w:r>
        <w:t xml:space="preserve"> </w:t>
      </w:r>
      <w:hyperlink r:id="rId22">
        <w:r>
          <w:rPr>
            <w:rStyle w:val="Hyperlink"/>
          </w:rPr>
          <w:t xml:space="preserve">[8]</w:t>
        </w:r>
      </w:hyperlink>
      <w:r>
        <w:t xml:space="preserve"> </w:t>
      </w:r>
      <w:hyperlink r:id="rId22">
        <w:r>
          <w:rPr>
            <w:rStyle w:val="Hyperlink"/>
          </w:rPr>
          <w:t xml:space="preserve">[17]</w:t>
        </w:r>
      </w:hyperlink>
      <w:r>
        <w:t xml:space="preserve"> </w:t>
      </w:r>
      <w:r>
        <w:t xml:space="preserve">https://www.reuters.com/world/middle-east/us-intelligence-warns-iran-unlikely-ease-hormuz-strait-chokehold-soon-sources-2026-04-03/</w:t>
      </w:r>
    </w:p>
    <w:p>
      <w:pPr>
        <w:pStyle w:val="BodyText"/>
      </w:pPr>
      <w:hyperlink r:id="rId22">
        <w:r>
          <w:rPr>
            <w:rStyle w:val="Hyperlink"/>
          </w:rPr>
          <w:t xml:space="preserve">https://www.reuters.com/world/middle-east/us-intelligence-warns-iran-unlikely-ease-hormuz-strait-chokehold-soon-sources-2026-04-03/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[4]</w:t>
        </w:r>
      </w:hyperlink>
      <w:r>
        <w:t xml:space="preserve"> </w:t>
      </w:r>
      <w:hyperlink r:id="rId26">
        <w:r>
          <w:rPr>
            <w:rStyle w:val="Hyperlink"/>
          </w:rPr>
          <w:t xml:space="preserve">[27]</w:t>
        </w:r>
      </w:hyperlink>
      <w:r>
        <w:t xml:space="preserve"> </w:t>
      </w:r>
      <w:r>
        <w:t xml:space="preserve">https://www.eia.gov/todayinenergy/detail.php?id=65584</w:t>
      </w:r>
    </w:p>
    <w:p>
      <w:pPr>
        <w:pStyle w:val="BodyText"/>
      </w:pPr>
      <w:hyperlink r:id="rId26">
        <w:r>
          <w:rPr>
            <w:rStyle w:val="Hyperlink"/>
          </w:rPr>
          <w:t xml:space="preserve">https://www.eia.gov/todayinenergy/detail.php?id=65584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[5]</w:t>
        </w:r>
      </w:hyperlink>
      <w:r>
        <w:t xml:space="preserve"> </w:t>
      </w:r>
      <w:hyperlink r:id="rId27">
        <w:r>
          <w:rPr>
            <w:rStyle w:val="Hyperlink"/>
          </w:rPr>
          <w:t xml:space="preserve">[15]</w:t>
        </w:r>
      </w:hyperlink>
      <w:r>
        <w:t xml:space="preserve"> </w:t>
      </w:r>
      <w:r>
        <w:t xml:space="preserve">https://www.eia.gov/outlooks/steo/report/global_oil.php</w:t>
      </w:r>
    </w:p>
    <w:p>
      <w:pPr>
        <w:pStyle w:val="BodyText"/>
      </w:pPr>
      <w:hyperlink r:id="rId27">
        <w:r>
          <w:rPr>
            <w:rStyle w:val="Hyperlink"/>
          </w:rPr>
          <w:t xml:space="preserve">https://www.eia.gov/outlooks/steo/report/global_oil.php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[6]</w:t>
        </w:r>
      </w:hyperlink>
      <w:r>
        <w:t xml:space="preserve"> </w:t>
      </w:r>
      <w:hyperlink r:id="rId28">
        <w:r>
          <w:rPr>
            <w:rStyle w:val="Hyperlink"/>
          </w:rPr>
          <w:t xml:space="preserve">[9]</w:t>
        </w:r>
      </w:hyperlink>
      <w:r>
        <w:t xml:space="preserve"> </w:t>
      </w:r>
      <w:hyperlink r:id="rId28">
        <w:r>
          <w:rPr>
            <w:rStyle w:val="Hyperlink"/>
          </w:rPr>
          <w:t xml:space="preserve">[13]</w:t>
        </w:r>
      </w:hyperlink>
      <w:r>
        <w:t xml:space="preserve"> </w:t>
      </w:r>
      <w:r>
        <w:t xml:space="preserve">https://www.reuters.com/business/energy/iran-war-shock-drives-steepest-hike-yet-oil-price-forecasts-2026-03-31/</w:t>
      </w:r>
    </w:p>
    <w:p>
      <w:pPr>
        <w:pStyle w:val="BodyText"/>
      </w:pPr>
      <w:hyperlink r:id="rId28">
        <w:r>
          <w:rPr>
            <w:rStyle w:val="Hyperlink"/>
          </w:rPr>
          <w:t xml:space="preserve">https://www.reuters.com/business/energy/iran-war-shock-drives-steepest-hike-yet-oil-price-forecasts-2026-03-31/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https://www.sec.gov/Archives/edgar/data/1075531/000095015726000465/form8-k.htm</w:t>
      </w:r>
    </w:p>
    <w:p>
      <w:pPr>
        <w:pStyle w:val="BodyText"/>
      </w:pPr>
      <w:hyperlink r:id="rId35">
        <w:r>
          <w:rPr>
            <w:rStyle w:val="Hyperlink"/>
          </w:rPr>
          <w:t xml:space="preserve">https://www.sec.gov/Archives/edgar/data/1075531/000095015726000465/form8-k.htm</w:t>
        </w:r>
      </w:hyperlink>
    </w:p>
    <w:p>
      <w:pPr>
        <w:pStyle w:val="BodyText"/>
      </w:pPr>
      <w:hyperlink r:id="rId37">
        <w:r>
          <w:rPr>
            <w:rStyle w:val="Hyperlink"/>
          </w:rPr>
          <w:t xml:space="preserve">[11]</w:t>
        </w:r>
      </w:hyperlink>
      <w:r>
        <w:t xml:space="preserve"> </w:t>
      </w:r>
      <w:hyperlink r:id="rId37">
        <w:r>
          <w:rPr>
            <w:rStyle w:val="Hyperlink"/>
          </w:rPr>
          <w:t xml:space="preserve">[12]</w:t>
        </w:r>
      </w:hyperlink>
      <w:r>
        <w:t xml:space="preserve"> </w:t>
      </w:r>
      <w:hyperlink r:id="rId37">
        <w:r>
          <w:rPr>
            <w:rStyle w:val="Hyperlink"/>
          </w:rPr>
          <w:t xml:space="preserve">[16]</w:t>
        </w:r>
      </w:hyperlink>
      <w:r>
        <w:t xml:space="preserve"> </w:t>
      </w:r>
      <w:hyperlink r:id="rId37">
        <w:r>
          <w:rPr>
            <w:rStyle w:val="Hyperlink"/>
          </w:rPr>
          <w:t xml:space="preserve">[28]</w:t>
        </w:r>
      </w:hyperlink>
      <w:r>
        <w:t xml:space="preserve"> </w:t>
      </w:r>
      <w:hyperlink r:id="rId37">
        <w:r>
          <w:rPr>
            <w:rStyle w:val="Hyperlink"/>
          </w:rPr>
          <w:t xml:space="preserve">[29]</w:t>
        </w:r>
      </w:hyperlink>
      <w:r>
        <w:t xml:space="preserve"> </w:t>
      </w:r>
      <w:hyperlink r:id="rId37">
        <w:r>
          <w:rPr>
            <w:rStyle w:val="Hyperlink"/>
          </w:rPr>
          <w:t xml:space="preserve">[30]</w:t>
        </w:r>
      </w:hyperlink>
      <w:r>
        <w:t xml:space="preserve"> </w:t>
      </w:r>
      <w:hyperlink r:id="rId37">
        <w:r>
          <w:rPr>
            <w:rStyle w:val="Hyperlink"/>
          </w:rPr>
          <w:t xml:space="preserve">[31]</w:t>
        </w:r>
      </w:hyperlink>
      <w:r>
        <w:t xml:space="preserve"> </w:t>
      </w:r>
      <w:r>
        <w:t xml:space="preserve">https://www.sec.gov/Archives/edgar/data/3570/000000357026000005/lng-20251231.htm</w:t>
      </w:r>
    </w:p>
    <w:p>
      <w:pPr>
        <w:pStyle w:val="BodyText"/>
      </w:pPr>
      <w:hyperlink r:id="rId37">
        <w:r>
          <w:rPr>
            <w:rStyle w:val="Hyperlink"/>
          </w:rPr>
          <w:t xml:space="preserve">https://www.sec.gov/Archives/edgar/data/3570/000000357026000005/lng-20251231.htm</w:t>
        </w:r>
      </w:hyperlink>
    </w:p>
    <w:p>
      <w:pPr>
        <w:pStyle w:val="BodyText"/>
      </w:pPr>
      <w:hyperlink r:id="rId38">
        <w:r>
          <w:rPr>
            <w:rStyle w:val="Hyperlink"/>
          </w:rPr>
          <w:t xml:space="preserve">[14]</w:t>
        </w:r>
      </w:hyperlink>
      <w:r>
        <w:t xml:space="preserve"> </w:t>
      </w:r>
      <w:hyperlink r:id="rId38">
        <w:r>
          <w:rPr>
            <w:rStyle w:val="Hyperlink"/>
          </w:rPr>
          <w:t xml:space="preserve">[33]</w:t>
        </w:r>
      </w:hyperlink>
      <w:r>
        <w:t xml:space="preserve"> </w:t>
      </w:r>
      <w:hyperlink r:id="rId38">
        <w:r>
          <w:rPr>
            <w:rStyle w:val="Hyperlink"/>
          </w:rPr>
          <w:t xml:space="preserve">[51]</w:t>
        </w:r>
      </w:hyperlink>
      <w:r>
        <w:t xml:space="preserve"> </w:t>
      </w:r>
      <w:r>
        <w:t xml:space="preserve">https://occidentalpetroleum.gcs-web.com/static-files/f43a73c1-8b5f-4238-af96-c95bb6c8d23e</w:t>
      </w:r>
    </w:p>
    <w:p>
      <w:pPr>
        <w:pStyle w:val="BodyText"/>
      </w:pPr>
      <w:hyperlink r:id="rId38">
        <w:r>
          <w:rPr>
            <w:rStyle w:val="Hyperlink"/>
          </w:rPr>
          <w:t xml:space="preserve">https://occidentalpetroleum.gcs-web.com/static-files/f43a73c1-8b5f-4238-af96-c95bb6c8d23e</w:t>
        </w:r>
      </w:hyperlink>
    </w:p>
    <w:p>
      <w:pPr>
        <w:pStyle w:val="BodyText"/>
      </w:pPr>
      <w:hyperlink r:id="rId39">
        <w:r>
          <w:rPr>
            <w:rStyle w:val="Hyperlink"/>
          </w:rPr>
          <w:t xml:space="preserve">[18]</w:t>
        </w:r>
      </w:hyperlink>
      <w:r>
        <w:t xml:space="preserve"> </w:t>
      </w:r>
      <w:hyperlink r:id="rId39">
        <w:r>
          <w:rPr>
            <w:rStyle w:val="Hyperlink"/>
          </w:rPr>
          <w:t xml:space="preserve">[46]</w:t>
        </w:r>
      </w:hyperlink>
      <w:r>
        <w:t xml:space="preserve"> </w:t>
      </w:r>
      <w:hyperlink r:id="rId39">
        <w:r>
          <w:rPr>
            <w:rStyle w:val="Hyperlink"/>
          </w:rPr>
          <w:t xml:space="preserve">[48]</w:t>
        </w:r>
      </w:hyperlink>
      <w:r>
        <w:t xml:space="preserve"> </w:t>
      </w:r>
      <w:hyperlink r:id="rId39">
        <w:r>
          <w:rPr>
            <w:rStyle w:val="Hyperlink"/>
          </w:rPr>
          <w:t xml:space="preserve">[53]</w:t>
        </w:r>
      </w:hyperlink>
      <w:r>
        <w:t xml:space="preserve"> </w:t>
      </w:r>
      <w:r>
        <w:t xml:space="preserve">https://www.sec.gov/Archives/edgar/data/1321655/000132165526000011/pltr-20251231.htm</w:t>
      </w:r>
    </w:p>
    <w:p>
      <w:pPr>
        <w:pStyle w:val="BodyText"/>
      </w:pPr>
      <w:hyperlink r:id="rId39">
        <w:r>
          <w:rPr>
            <w:rStyle w:val="Hyperlink"/>
          </w:rPr>
          <w:t xml:space="preserve">https://www.sec.gov/Archives/edgar/data/1321655/000132165526000011/pltr-20251231.htm</w:t>
        </w:r>
      </w:hyperlink>
    </w:p>
    <w:p>
      <w:pPr>
        <w:pStyle w:val="BodyText"/>
      </w:pPr>
      <w:hyperlink r:id="rId40">
        <w:r>
          <w:rPr>
            <w:rStyle w:val="Hyperlink"/>
          </w:rPr>
          <w:t xml:space="preserve">[19]</w:t>
        </w:r>
      </w:hyperlink>
      <w:r>
        <w:t xml:space="preserve"> </w:t>
      </w:r>
      <w:hyperlink r:id="rId40">
        <w:r>
          <w:rPr>
            <w:rStyle w:val="Hyperlink"/>
          </w:rPr>
          <w:t xml:space="preserve">[38]</w:t>
        </w:r>
      </w:hyperlink>
      <w:r>
        <w:t xml:space="preserve"> </w:t>
      </w:r>
      <w:hyperlink r:id="rId40">
        <w:r>
          <w:rPr>
            <w:rStyle w:val="Hyperlink"/>
          </w:rPr>
          <w:t xml:space="preserve">[39]</w:t>
        </w:r>
      </w:hyperlink>
      <w:r>
        <w:t xml:space="preserve"> </w:t>
      </w:r>
      <w:r>
        <w:t xml:space="preserve">https://www.sec.gov/Archives/edgar/data/1701605/000170160526000007/bkr-20251231.htm</w:t>
      </w:r>
    </w:p>
    <w:p>
      <w:pPr>
        <w:pStyle w:val="BodyText"/>
      </w:pPr>
      <w:hyperlink r:id="rId40">
        <w:r>
          <w:rPr>
            <w:rStyle w:val="Hyperlink"/>
          </w:rPr>
          <w:t xml:space="preserve">https://www.sec.gov/Archives/edgar/data/1701605/000170160526000007/bkr-20251231.htm</w:t>
        </w:r>
      </w:hyperlink>
    </w:p>
    <w:p>
      <w:pPr>
        <w:pStyle w:val="BodyText"/>
      </w:pPr>
      <w:hyperlink r:id="rId43">
        <w:r>
          <w:rPr>
            <w:rStyle w:val="Hyperlink"/>
          </w:rPr>
          <w:t xml:space="preserve">[20]</w:t>
        </w:r>
      </w:hyperlink>
      <w:r>
        <w:t xml:space="preserve"> </w:t>
      </w:r>
      <w:r>
        <w:t xml:space="preserve">https://www.sec.gov/Archives/edgar/data/1075531/000095015726000465/ex3-1.htm</w:t>
      </w:r>
    </w:p>
    <w:p>
      <w:pPr>
        <w:pStyle w:val="BodyText"/>
      </w:pPr>
      <w:hyperlink r:id="rId43">
        <w:r>
          <w:rPr>
            <w:rStyle w:val="Hyperlink"/>
          </w:rPr>
          <w:t xml:space="preserve">https://www.sec.gov/Archives/edgar/data/1075531/000095015726000465/ex3-1.htm</w:t>
        </w:r>
      </w:hyperlink>
    </w:p>
    <w:p>
      <w:pPr>
        <w:pStyle w:val="BodyText"/>
      </w:pPr>
      <w:hyperlink r:id="rId45">
        <w:r>
          <w:rPr>
            <w:rStyle w:val="Hyperlink"/>
          </w:rPr>
          <w:t xml:space="preserve">[21]</w:t>
        </w:r>
      </w:hyperlink>
      <w:r>
        <w:t xml:space="preserve"> </w:t>
      </w:r>
      <w:hyperlink r:id="rId45">
        <w:r>
          <w:rPr>
            <w:rStyle w:val="Hyperlink"/>
          </w:rPr>
          <w:t xml:space="preserve">[22]</w:t>
        </w:r>
      </w:hyperlink>
      <w:r>
        <w:t xml:space="preserve"> </w:t>
      </w:r>
      <w:hyperlink r:id="rId45">
        <w:r>
          <w:rPr>
            <w:rStyle w:val="Hyperlink"/>
          </w:rPr>
          <w:t xml:space="preserve">[23]</w:t>
        </w:r>
      </w:hyperlink>
      <w:r>
        <w:t xml:space="preserve"> </w:t>
      </w:r>
      <w:r>
        <w:t xml:space="preserve">https://www.sec.gov/Archives/edgar/data/1075531/000107553126000009/bkng-20251231.htm</w:t>
      </w:r>
    </w:p>
    <w:p>
      <w:pPr>
        <w:pStyle w:val="BodyText"/>
      </w:pPr>
      <w:hyperlink r:id="rId45">
        <w:r>
          <w:rPr>
            <w:rStyle w:val="Hyperlink"/>
          </w:rPr>
          <w:t xml:space="preserve">https://www.sec.gov/Archives/edgar/data/1075531/000107553126000009/bkng-20251231.htm</w:t>
        </w:r>
      </w:hyperlink>
    </w:p>
    <w:p>
      <w:pPr>
        <w:pStyle w:val="BodyText"/>
      </w:pPr>
      <w:hyperlink r:id="rId46">
        <w:r>
          <w:rPr>
            <w:rStyle w:val="Hyperlink"/>
          </w:rPr>
          <w:t xml:space="preserve">[24]</w:t>
        </w:r>
      </w:hyperlink>
      <w:r>
        <w:t xml:space="preserve"> </w:t>
      </w:r>
      <w:r>
        <w:t xml:space="preserve">https://finance.yahoo.com/quote/BKNG/insider-transactions/</w:t>
      </w:r>
    </w:p>
    <w:p>
      <w:pPr>
        <w:pStyle w:val="BodyText"/>
      </w:pPr>
      <w:hyperlink r:id="rId46">
        <w:r>
          <w:rPr>
            <w:rStyle w:val="Hyperlink"/>
          </w:rPr>
          <w:t xml:space="preserve">https://finance.yahoo.com/quote/BKNG/insider-transactions/</w:t>
        </w:r>
      </w:hyperlink>
    </w:p>
    <w:p>
      <w:pPr>
        <w:pStyle w:val="BodyText"/>
      </w:pPr>
      <w:hyperlink r:id="rId47">
        <w:r>
          <w:rPr>
            <w:rStyle w:val="Hyperlink"/>
          </w:rPr>
          <w:t xml:space="preserve">[25]</w:t>
        </w:r>
      </w:hyperlink>
      <w:r>
        <w:t xml:space="preserve"> </w:t>
      </w:r>
      <w:r>
        <w:t xml:space="preserve">https://www.marketbeat.com/stocks/NASDAQ/BKNG/short-interest/</w:t>
      </w:r>
    </w:p>
    <w:p>
      <w:pPr>
        <w:pStyle w:val="BodyText"/>
      </w:pPr>
      <w:hyperlink r:id="rId47">
        <w:r>
          <w:rPr>
            <w:rStyle w:val="Hyperlink"/>
          </w:rPr>
          <w:t xml:space="preserve">https://www.marketbeat.com/stocks/NASDAQ/BKNG/short-interest/</w:t>
        </w:r>
      </w:hyperlink>
    </w:p>
    <w:p>
      <w:pPr>
        <w:pStyle w:val="BodyText"/>
      </w:pPr>
      <w:hyperlink r:id="rId48">
        <w:r>
          <w:rPr>
            <w:rStyle w:val="Hyperlink"/>
          </w:rPr>
          <w:t xml:space="preserve">[26]</w:t>
        </w:r>
      </w:hyperlink>
      <w:r>
        <w:t xml:space="preserve"> </w:t>
      </w:r>
      <w:r>
        <w:t xml:space="preserve">https://www.sec.gov/Archives/edgar/data/1075531/000107553126000008/q4-25bkngearningsrelease.htm</w:t>
      </w:r>
    </w:p>
    <w:p>
      <w:pPr>
        <w:pStyle w:val="BodyText"/>
      </w:pPr>
      <w:hyperlink r:id="rId48">
        <w:r>
          <w:rPr>
            <w:rStyle w:val="Hyperlink"/>
          </w:rPr>
          <w:t xml:space="preserve">https://www.sec.gov/Archives/edgar/data/1075531/000107553126000008/q4-25bkngearningsrelease.htm</w:t>
        </w:r>
      </w:hyperlink>
    </w:p>
    <w:p>
      <w:pPr>
        <w:pStyle w:val="BodyText"/>
      </w:pPr>
      <w:hyperlink r:id="rId49">
        <w:r>
          <w:rPr>
            <w:rStyle w:val="Hyperlink"/>
          </w:rPr>
          <w:t xml:space="preserve">[32]</w:t>
        </w:r>
      </w:hyperlink>
      <w:r>
        <w:t xml:space="preserve"> </w:t>
      </w:r>
      <w:r>
        <w:t xml:space="preserve">https://www.oxy.com/news/news-releases/occidental-announces-4th-quarter-2025-results/</w:t>
      </w:r>
    </w:p>
    <w:p>
      <w:pPr>
        <w:pStyle w:val="BodyText"/>
      </w:pPr>
      <w:hyperlink r:id="rId49">
        <w:r>
          <w:rPr>
            <w:rStyle w:val="Hyperlink"/>
          </w:rPr>
          <w:t xml:space="preserve">https://www.oxy.com/news/news-releases/occidental-announces-4th-quarter-2025-results/</w:t>
        </w:r>
      </w:hyperlink>
    </w:p>
    <w:p>
      <w:pPr>
        <w:pStyle w:val="BodyText"/>
      </w:pPr>
      <w:hyperlink r:id="rId50">
        <w:r>
          <w:rPr>
            <w:rStyle w:val="Hyperlink"/>
          </w:rPr>
          <w:t xml:space="preserve">[34]</w:t>
        </w:r>
      </w:hyperlink>
      <w:r>
        <w:t xml:space="preserve"> </w:t>
      </w:r>
      <w:r>
        <w:t xml:space="preserve">https://www.sec.gov/Archives/edgar/data/797468/000162828026009059/oxy-20251231.htm</w:t>
      </w:r>
    </w:p>
    <w:p>
      <w:pPr>
        <w:pStyle w:val="BodyText"/>
      </w:pPr>
      <w:hyperlink r:id="rId50">
        <w:r>
          <w:rPr>
            <w:rStyle w:val="Hyperlink"/>
          </w:rPr>
          <w:t xml:space="preserve">https://www.sec.gov/Archives/edgar/data/797468/000162828026009059/oxy-20251231.htm</w:t>
        </w:r>
      </w:hyperlink>
    </w:p>
    <w:p>
      <w:pPr>
        <w:pStyle w:val="BodyText"/>
      </w:pPr>
      <w:hyperlink r:id="rId51">
        <w:r>
          <w:rPr>
            <w:rStyle w:val="Hyperlink"/>
          </w:rPr>
          <w:t xml:space="preserve">[35]</w:t>
        </w:r>
      </w:hyperlink>
      <w:r>
        <w:t xml:space="preserve"> </w:t>
      </w:r>
      <w:r>
        <w:t xml:space="preserve">https://www.marketbeat.com/stocks/NYSE/OXY/short-interest/</w:t>
      </w:r>
    </w:p>
    <w:p>
      <w:pPr>
        <w:pStyle w:val="BodyText"/>
      </w:pPr>
      <w:hyperlink r:id="rId51">
        <w:r>
          <w:rPr>
            <w:rStyle w:val="Hyperlink"/>
          </w:rPr>
          <w:t xml:space="preserve">https://www.marketbeat.com/stocks/NYSE/OXY/short-interest/</w:t>
        </w:r>
      </w:hyperlink>
    </w:p>
    <w:p>
      <w:pPr>
        <w:pStyle w:val="BodyText"/>
      </w:pPr>
      <w:hyperlink r:id="rId52">
        <w:r>
          <w:rPr>
            <w:rStyle w:val="Hyperlink"/>
          </w:rPr>
          <w:t xml:space="preserve">[36]</w:t>
        </w:r>
      </w:hyperlink>
      <w:r>
        <w:t xml:space="preserve"> </w:t>
      </w:r>
      <w:r>
        <w:t xml:space="preserve">https://www.sec.gov/Archives/edgar/data/1378789/000162828026005942/aercap2025fourthquarterear.htm</w:t>
      </w:r>
    </w:p>
    <w:p>
      <w:pPr>
        <w:pStyle w:val="BodyText"/>
      </w:pPr>
      <w:hyperlink r:id="rId52">
        <w:r>
          <w:rPr>
            <w:rStyle w:val="Hyperlink"/>
          </w:rPr>
          <w:t xml:space="preserve">https://www.sec.gov/Archives/edgar/data/1378789/000162828026005942/aercap2025fourthquarterear.htm</w:t>
        </w:r>
      </w:hyperlink>
    </w:p>
    <w:p>
      <w:pPr>
        <w:pStyle w:val="BodyText"/>
      </w:pPr>
      <w:hyperlink r:id="rId53">
        <w:r>
          <w:rPr>
            <w:rStyle w:val="Hyperlink"/>
          </w:rPr>
          <w:t xml:space="preserve">[37]</w:t>
        </w:r>
      </w:hyperlink>
      <w:r>
        <w:t xml:space="preserve"> </w:t>
      </w:r>
      <w:r>
        <w:t xml:space="preserve">https://www.sec.gov/Archives/edgar/data/1378789/000095015725000979/form6-k.htm</w:t>
      </w:r>
    </w:p>
    <w:p>
      <w:pPr>
        <w:pStyle w:val="BodyText"/>
      </w:pPr>
      <w:hyperlink r:id="rId53">
        <w:r>
          <w:rPr>
            <w:rStyle w:val="Hyperlink"/>
          </w:rPr>
          <w:t xml:space="preserve">https://www.sec.gov/Archives/edgar/data/1378789/000095015725000979/form6-k.htm</w:t>
        </w:r>
      </w:hyperlink>
    </w:p>
    <w:p>
      <w:pPr>
        <w:pStyle w:val="BodyText"/>
      </w:pPr>
      <w:hyperlink r:id="rId54">
        <w:r>
          <w:rPr>
            <w:rStyle w:val="Hyperlink"/>
          </w:rPr>
          <w:t xml:space="preserve">[40]</w:t>
        </w:r>
      </w:hyperlink>
      <w:r>
        <w:t xml:space="preserve"> </w:t>
      </w:r>
      <w:r>
        <w:t xml:space="preserve">https://www.stocktitan.net/sec-filings/BKR/form-4-baker-hughes-co-insider-trading-activity-f4fac72297ae.html</w:t>
      </w:r>
    </w:p>
    <w:p>
      <w:pPr>
        <w:pStyle w:val="BodyText"/>
      </w:pPr>
      <w:hyperlink r:id="rId54">
        <w:r>
          <w:rPr>
            <w:rStyle w:val="Hyperlink"/>
          </w:rPr>
          <w:t xml:space="preserve">https://www.stocktitan.net/sec-filings/BKR/form-4-baker-hughes-co-insider-trading-activity-f4fac72297ae.html</w:t>
        </w:r>
      </w:hyperlink>
    </w:p>
    <w:p>
      <w:pPr>
        <w:pStyle w:val="BodyText"/>
      </w:pPr>
      <w:hyperlink r:id="rId56">
        <w:r>
          <w:rPr>
            <w:rStyle w:val="Hyperlink"/>
          </w:rPr>
          <w:t xml:space="preserve">[41]</w:t>
        </w:r>
      </w:hyperlink>
      <w:r>
        <w:t xml:space="preserve"> </w:t>
      </w:r>
      <w:r>
        <w:t xml:space="preserve">https://nvidianews.nvidia.com/news/nvidia-announces-financial-results-for-fourth-quarter-and-fiscal-2026</w:t>
      </w:r>
    </w:p>
    <w:p>
      <w:pPr>
        <w:pStyle w:val="BodyText"/>
      </w:pPr>
      <w:hyperlink r:id="rId56">
        <w:r>
          <w:rPr>
            <w:rStyle w:val="Hyperlink"/>
          </w:rPr>
          <w:t xml:space="preserve">https://nvidianews.nvidia.com/news/nvidia-announces-financial-results-for-fourth-quarter-and-fiscal-2026</w:t>
        </w:r>
      </w:hyperlink>
    </w:p>
    <w:p>
      <w:pPr>
        <w:pStyle w:val="BodyText"/>
      </w:pPr>
      <w:hyperlink r:id="rId57">
        <w:r>
          <w:rPr>
            <w:rStyle w:val="Hyperlink"/>
          </w:rPr>
          <w:t xml:space="preserve">[42]</w:t>
        </w:r>
      </w:hyperlink>
      <w:r>
        <w:t xml:space="preserve"> </w:t>
      </w:r>
      <w:r>
        <w:t xml:space="preserve">https://www.sec.gov/Archives/edgar/data/1045810/000104581026000021/nvda-20260125.htm</w:t>
      </w:r>
    </w:p>
    <w:p>
      <w:pPr>
        <w:pStyle w:val="BodyText"/>
      </w:pPr>
      <w:hyperlink r:id="rId57">
        <w:r>
          <w:rPr>
            <w:rStyle w:val="Hyperlink"/>
          </w:rPr>
          <w:t xml:space="preserve">https://www.sec.gov/Archives/edgar/data/1045810/000104581026000021/nvda-20260125.htm</w:t>
        </w:r>
      </w:hyperlink>
    </w:p>
    <w:p>
      <w:pPr>
        <w:pStyle w:val="BodyText"/>
      </w:pPr>
      <w:hyperlink r:id="rId58">
        <w:r>
          <w:rPr>
            <w:rStyle w:val="Hyperlink"/>
          </w:rPr>
          <w:t xml:space="preserve">[43]</w:t>
        </w:r>
      </w:hyperlink>
      <w:r>
        <w:t xml:space="preserve"> </w:t>
      </w:r>
      <w:hyperlink r:id="rId58">
        <w:r>
          <w:rPr>
            <w:rStyle w:val="Hyperlink"/>
          </w:rPr>
          <w:t xml:space="preserve">[52]</w:t>
        </w:r>
      </w:hyperlink>
      <w:r>
        <w:t xml:space="preserve"> </w:t>
      </w:r>
      <w:r>
        <w:t xml:space="preserve">https://finance.yahoo.com/quote/NVDA/insider-transactions/</w:t>
      </w:r>
    </w:p>
    <w:p>
      <w:pPr>
        <w:pStyle w:val="BodyText"/>
      </w:pPr>
      <w:hyperlink r:id="rId58">
        <w:r>
          <w:rPr>
            <w:rStyle w:val="Hyperlink"/>
          </w:rPr>
          <w:t xml:space="preserve">https://finance.yahoo.com/quote/NVDA/insider-transactions/</w:t>
        </w:r>
      </w:hyperlink>
    </w:p>
    <w:p>
      <w:pPr>
        <w:pStyle w:val="BodyText"/>
      </w:pPr>
      <w:hyperlink r:id="rId59">
        <w:r>
          <w:rPr>
            <w:rStyle w:val="Hyperlink"/>
          </w:rPr>
          <w:t xml:space="preserve">[44]</w:t>
        </w:r>
      </w:hyperlink>
      <w:r>
        <w:t xml:space="preserve"> </w:t>
      </w:r>
      <w:hyperlink r:id="rId59">
        <w:r>
          <w:rPr>
            <w:rStyle w:val="Hyperlink"/>
          </w:rPr>
          <w:t xml:space="preserve">[45]</w:t>
        </w:r>
      </w:hyperlink>
      <w:r>
        <w:t xml:space="preserve"> </w:t>
      </w:r>
      <w:r>
        <w:t xml:space="preserve">https://www.sec.gov/Archives/edgar/data/101829/000010182926000006/rtx-20251231.htm</w:t>
      </w:r>
    </w:p>
    <w:p>
      <w:pPr>
        <w:pStyle w:val="BodyText"/>
      </w:pPr>
      <w:hyperlink r:id="rId59">
        <w:r>
          <w:rPr>
            <w:rStyle w:val="Hyperlink"/>
          </w:rPr>
          <w:t xml:space="preserve">https://www.sec.gov/Archives/edgar/data/101829/000010182926000006/rtx-20251231.htm</w:t>
        </w:r>
      </w:hyperlink>
    </w:p>
    <w:p>
      <w:pPr>
        <w:pStyle w:val="BodyText"/>
      </w:pPr>
      <w:hyperlink r:id="rId60">
        <w:r>
          <w:rPr>
            <w:rStyle w:val="Hyperlink"/>
          </w:rPr>
          <w:t xml:space="preserve">[47]</w:t>
        </w:r>
      </w:hyperlink>
      <w:r>
        <w:t xml:space="preserve"> </w:t>
      </w:r>
      <w:r>
        <w:t xml:space="preserve">https://finance.yahoo.com/quote/PLTR/insider-transactions/</w:t>
      </w:r>
    </w:p>
    <w:p>
      <w:pPr>
        <w:pStyle w:val="BodyText"/>
      </w:pPr>
      <w:hyperlink r:id="rId60">
        <w:r>
          <w:rPr>
            <w:rStyle w:val="Hyperlink"/>
          </w:rPr>
          <w:t xml:space="preserve">https://finance.yahoo.com/quote/PLTR/insider-transactions/</w:t>
        </w:r>
      </w:hyperlink>
    </w:p>
    <w:p>
      <w:pPr>
        <w:pStyle w:val="BodyText"/>
      </w:pPr>
      <w:hyperlink r:id="rId61">
        <w:r>
          <w:rPr>
            <w:rStyle w:val="Hyperlink"/>
          </w:rPr>
          <w:t xml:space="preserve">[49]</w:t>
        </w:r>
      </w:hyperlink>
      <w:r>
        <w:t xml:space="preserve"> </w:t>
      </w:r>
      <w:r>
        <w:t xml:space="preserve">https://scorpiotankers.gcs-web.com/static-files/d318ad2b-fb06-4c5c-b55f-235595286454</w:t>
      </w:r>
    </w:p>
    <w:p>
      <w:pPr>
        <w:pStyle w:val="BodyText"/>
      </w:pPr>
      <w:hyperlink r:id="rId61">
        <w:r>
          <w:rPr>
            <w:rStyle w:val="Hyperlink"/>
          </w:rPr>
          <w:t xml:space="preserve">https://scorpiotankers.gcs-web.com/static-files/d318ad2b-fb06-4c5c-b55f-235595286454</w:t>
        </w:r>
      </w:hyperlink>
    </w:p>
    <w:p>
      <w:pPr>
        <w:pStyle w:val="BodyText"/>
      </w:pPr>
      <w:hyperlink r:id="rId62">
        <w:r>
          <w:rPr>
            <w:rStyle w:val="Hyperlink"/>
          </w:rPr>
          <w:t xml:space="preserve">[50]</w:t>
        </w:r>
      </w:hyperlink>
      <w:r>
        <w:t xml:space="preserve"> </w:t>
      </w:r>
      <w:r>
        <w:t xml:space="preserve">https://markets.businessinsider.com/news/stocks/scorpio-tankers-inc-announces-vessel-sale-agreements-1035978160</w:t>
      </w:r>
    </w:p>
    <w:p>
      <w:pPr>
        <w:pStyle w:val="BodyText"/>
      </w:pPr>
      <w:hyperlink r:id="rId62">
        <w:r>
          <w:rPr>
            <w:rStyle w:val="Hyperlink"/>
          </w:rPr>
          <w:t xml:space="preserve">https://markets.businessinsider.com/news/stocks/scorpio-tankers-inc-announces-vessel-sale-agreements-1035978160</w:t>
        </w:r>
      </w:hyperlink>
    </w:p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6" Target="https://finance.yahoo.com/quote/BKNG/insider-transactions/" TargetMode="External" /><Relationship Type="http://schemas.openxmlformats.org/officeDocument/2006/relationships/hyperlink" Id="rId58" Target="https://finance.yahoo.com/quote/NVDA/insider-transactions/" TargetMode="External" /><Relationship Type="http://schemas.openxmlformats.org/officeDocument/2006/relationships/hyperlink" Id="rId60" Target="https://finance.yahoo.com/quote/PLTR/insider-transactions/" TargetMode="External" /><Relationship Type="http://schemas.openxmlformats.org/officeDocument/2006/relationships/hyperlink" Id="rId62" Target="https://markets.businessinsider.com/news/stocks/scorpio-tankers-inc-announces-vessel-sale-agreements-1035978160" TargetMode="External" /><Relationship Type="http://schemas.openxmlformats.org/officeDocument/2006/relationships/hyperlink" Id="rId56" Target="https://nvidianews.nvidia.com/news/nvidia-announces-financial-results-for-fourth-quarter-and-fiscal-2026" TargetMode="External" /><Relationship Type="http://schemas.openxmlformats.org/officeDocument/2006/relationships/hyperlink" Id="rId38" Target="https://occidentalpetroleum.gcs-web.com/static-files/f43a73c1-8b5f-4238-af96-c95bb6c8d23e" TargetMode="External" /><Relationship Type="http://schemas.openxmlformats.org/officeDocument/2006/relationships/hyperlink" Id="rId61" Target="https://scorpiotankers.gcs-web.com/static-files/d318ad2b-fb06-4c5c-b55f-235595286454" TargetMode="External" /><Relationship Type="http://schemas.openxmlformats.org/officeDocument/2006/relationships/hyperlink" Id="rId27" Target="https://www.eia.gov/outlooks/steo/report/global_oil.php" TargetMode="External" /><Relationship Type="http://schemas.openxmlformats.org/officeDocument/2006/relationships/hyperlink" Id="rId21" Target="https://www.eia.gov/todayinenergy/detail.php?id=65504" TargetMode="External" /><Relationship Type="http://schemas.openxmlformats.org/officeDocument/2006/relationships/hyperlink" Id="rId26" Target="https://www.eia.gov/todayinenergy/detail.php?id=65584" TargetMode="External" /><Relationship Type="http://schemas.openxmlformats.org/officeDocument/2006/relationships/hyperlink" Id="rId47" Target="https://www.marketbeat.com/stocks/NASDAQ/BKNG/short-interest/" TargetMode="External" /><Relationship Type="http://schemas.openxmlformats.org/officeDocument/2006/relationships/hyperlink" Id="rId51" Target="https://www.marketbeat.com/stocks/NYSE/OXY/short-interest/" TargetMode="External" /><Relationship Type="http://schemas.openxmlformats.org/officeDocument/2006/relationships/hyperlink" Id="rId49" Target="https://www.oxy.com/news/news-releases/occidental-announces-4th-quarter-2025-results/" TargetMode="External" /><Relationship Type="http://schemas.openxmlformats.org/officeDocument/2006/relationships/hyperlink" Id="rId28" Target="https://www.reuters.com/business/energy/iran-war-shock-drives-steepest-hike-yet-oil-price-forecasts-2026-03-31/" TargetMode="External" /><Relationship Type="http://schemas.openxmlformats.org/officeDocument/2006/relationships/hyperlink" Id="rId22" Target="https://www.reuters.com/world/middle-east/us-intelligence-warns-iran-unlikely-ease-hormuz-strait-chokehold-soon-sources-2026-04-03/" TargetMode="External" /><Relationship Type="http://schemas.openxmlformats.org/officeDocument/2006/relationships/hyperlink" Id="rId59" Target="https://www.sec.gov/Archives/edgar/data/101829/000010182926000006/rtx-20251231.htm" TargetMode="External" /><Relationship Type="http://schemas.openxmlformats.org/officeDocument/2006/relationships/hyperlink" Id="rId57" Target="https://www.sec.gov/Archives/edgar/data/1045810/000104581026000021/nvda-20260125.htm" TargetMode="External" /><Relationship Type="http://schemas.openxmlformats.org/officeDocument/2006/relationships/hyperlink" Id="rId43" Target="https://www.sec.gov/Archives/edgar/data/1075531/000095015726000465/ex3-1.htm" TargetMode="External" /><Relationship Type="http://schemas.openxmlformats.org/officeDocument/2006/relationships/hyperlink" Id="rId35" Target="https://www.sec.gov/Archives/edgar/data/1075531/000095015726000465/form8-k.htm" TargetMode="External" /><Relationship Type="http://schemas.openxmlformats.org/officeDocument/2006/relationships/hyperlink" Id="rId48" Target="https://www.sec.gov/Archives/edgar/data/1075531/000107553126000008/q4-25bkngearningsrelease.htm" TargetMode="External" /><Relationship Type="http://schemas.openxmlformats.org/officeDocument/2006/relationships/hyperlink" Id="rId45" Target="https://www.sec.gov/Archives/edgar/data/1075531/000107553126000009/bkng-20251231.htm" TargetMode="External" /><Relationship Type="http://schemas.openxmlformats.org/officeDocument/2006/relationships/hyperlink" Id="rId39" Target="https://www.sec.gov/Archives/edgar/data/1321655/000132165526000011/pltr-20251231.htm" TargetMode="External" /><Relationship Type="http://schemas.openxmlformats.org/officeDocument/2006/relationships/hyperlink" Id="rId53" Target="https://www.sec.gov/Archives/edgar/data/1378789/000095015725000979/form6-k.htm" TargetMode="External" /><Relationship Type="http://schemas.openxmlformats.org/officeDocument/2006/relationships/hyperlink" Id="rId52" Target="https://www.sec.gov/Archives/edgar/data/1378789/000162828026005942/aercap2025fourthquarterear.htm" TargetMode="External" /><Relationship Type="http://schemas.openxmlformats.org/officeDocument/2006/relationships/hyperlink" Id="rId40" Target="https://www.sec.gov/Archives/edgar/data/1701605/000170160526000007/bkr-20251231.htm" TargetMode="External" /><Relationship Type="http://schemas.openxmlformats.org/officeDocument/2006/relationships/hyperlink" Id="rId37" Target="https://www.sec.gov/Archives/edgar/data/3570/000000357026000005/lng-20251231.htm" TargetMode="External" /><Relationship Type="http://schemas.openxmlformats.org/officeDocument/2006/relationships/hyperlink" Id="rId50" Target="https://www.sec.gov/Archives/edgar/data/797468/000162828026009059/oxy-20251231.htm" TargetMode="External" /><Relationship Type="http://schemas.openxmlformats.org/officeDocument/2006/relationships/hyperlink" Id="rId54" Target="https://www.stocktitan.net/sec-filings/BKR/form-4-baker-hughes-co-insider-trading-activity-f4fac72297ae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https://finance.yahoo.com/quote/BKNG/insider-transactions/" TargetMode="External" /><Relationship Type="http://schemas.openxmlformats.org/officeDocument/2006/relationships/hyperlink" Id="rId58" Target="https://finance.yahoo.com/quote/NVDA/insider-transactions/" TargetMode="External" /><Relationship Type="http://schemas.openxmlformats.org/officeDocument/2006/relationships/hyperlink" Id="rId60" Target="https://finance.yahoo.com/quote/PLTR/insider-transactions/" TargetMode="External" /><Relationship Type="http://schemas.openxmlformats.org/officeDocument/2006/relationships/hyperlink" Id="rId62" Target="https://markets.businessinsider.com/news/stocks/scorpio-tankers-inc-announces-vessel-sale-agreements-1035978160" TargetMode="External" /><Relationship Type="http://schemas.openxmlformats.org/officeDocument/2006/relationships/hyperlink" Id="rId56" Target="https://nvidianews.nvidia.com/news/nvidia-announces-financial-results-for-fourth-quarter-and-fiscal-2026" TargetMode="External" /><Relationship Type="http://schemas.openxmlformats.org/officeDocument/2006/relationships/hyperlink" Id="rId38" Target="https://occidentalpetroleum.gcs-web.com/static-files/f43a73c1-8b5f-4238-af96-c95bb6c8d23e" TargetMode="External" /><Relationship Type="http://schemas.openxmlformats.org/officeDocument/2006/relationships/hyperlink" Id="rId61" Target="https://scorpiotankers.gcs-web.com/static-files/d318ad2b-fb06-4c5c-b55f-235595286454" TargetMode="External" /><Relationship Type="http://schemas.openxmlformats.org/officeDocument/2006/relationships/hyperlink" Id="rId27" Target="https://www.eia.gov/outlooks/steo/report/global_oil.php" TargetMode="External" /><Relationship Type="http://schemas.openxmlformats.org/officeDocument/2006/relationships/hyperlink" Id="rId21" Target="https://www.eia.gov/todayinenergy/detail.php?id=65504" TargetMode="External" /><Relationship Type="http://schemas.openxmlformats.org/officeDocument/2006/relationships/hyperlink" Id="rId26" Target="https://www.eia.gov/todayinenergy/detail.php?id=65584" TargetMode="External" /><Relationship Type="http://schemas.openxmlformats.org/officeDocument/2006/relationships/hyperlink" Id="rId47" Target="https://www.marketbeat.com/stocks/NASDAQ/BKNG/short-interest/" TargetMode="External" /><Relationship Type="http://schemas.openxmlformats.org/officeDocument/2006/relationships/hyperlink" Id="rId51" Target="https://www.marketbeat.com/stocks/NYSE/OXY/short-interest/" TargetMode="External" /><Relationship Type="http://schemas.openxmlformats.org/officeDocument/2006/relationships/hyperlink" Id="rId49" Target="https://www.oxy.com/news/news-releases/occidental-announces-4th-quarter-2025-results/" TargetMode="External" /><Relationship Type="http://schemas.openxmlformats.org/officeDocument/2006/relationships/hyperlink" Id="rId28" Target="https://www.reuters.com/business/energy/iran-war-shock-drives-steepest-hike-yet-oil-price-forecasts-2026-03-31/" TargetMode="External" /><Relationship Type="http://schemas.openxmlformats.org/officeDocument/2006/relationships/hyperlink" Id="rId22" Target="https://www.reuters.com/world/middle-east/us-intelligence-warns-iran-unlikely-ease-hormuz-strait-chokehold-soon-sources-2026-04-03/" TargetMode="External" /><Relationship Type="http://schemas.openxmlformats.org/officeDocument/2006/relationships/hyperlink" Id="rId59" Target="https://www.sec.gov/Archives/edgar/data/101829/000010182926000006/rtx-20251231.htm" TargetMode="External" /><Relationship Type="http://schemas.openxmlformats.org/officeDocument/2006/relationships/hyperlink" Id="rId57" Target="https://www.sec.gov/Archives/edgar/data/1045810/000104581026000021/nvda-20260125.htm" TargetMode="External" /><Relationship Type="http://schemas.openxmlformats.org/officeDocument/2006/relationships/hyperlink" Id="rId43" Target="https://www.sec.gov/Archives/edgar/data/1075531/000095015726000465/ex3-1.htm" TargetMode="External" /><Relationship Type="http://schemas.openxmlformats.org/officeDocument/2006/relationships/hyperlink" Id="rId35" Target="https://www.sec.gov/Archives/edgar/data/1075531/000095015726000465/form8-k.htm" TargetMode="External" /><Relationship Type="http://schemas.openxmlformats.org/officeDocument/2006/relationships/hyperlink" Id="rId48" Target="https://www.sec.gov/Archives/edgar/data/1075531/000107553126000008/q4-25bkngearningsrelease.htm" TargetMode="External" /><Relationship Type="http://schemas.openxmlformats.org/officeDocument/2006/relationships/hyperlink" Id="rId45" Target="https://www.sec.gov/Archives/edgar/data/1075531/000107553126000009/bkng-20251231.htm" TargetMode="External" /><Relationship Type="http://schemas.openxmlformats.org/officeDocument/2006/relationships/hyperlink" Id="rId39" Target="https://www.sec.gov/Archives/edgar/data/1321655/000132165526000011/pltr-20251231.htm" TargetMode="External" /><Relationship Type="http://schemas.openxmlformats.org/officeDocument/2006/relationships/hyperlink" Id="rId53" Target="https://www.sec.gov/Archives/edgar/data/1378789/000095015725000979/form6-k.htm" TargetMode="External" /><Relationship Type="http://schemas.openxmlformats.org/officeDocument/2006/relationships/hyperlink" Id="rId52" Target="https://www.sec.gov/Archives/edgar/data/1378789/000162828026005942/aercap2025fourthquarterear.htm" TargetMode="External" /><Relationship Type="http://schemas.openxmlformats.org/officeDocument/2006/relationships/hyperlink" Id="rId40" Target="https://www.sec.gov/Archives/edgar/data/1701605/000170160526000007/bkr-20251231.htm" TargetMode="External" /><Relationship Type="http://schemas.openxmlformats.org/officeDocument/2006/relationships/hyperlink" Id="rId37" Target="https://www.sec.gov/Archives/edgar/data/3570/000000357026000005/lng-20251231.htm" TargetMode="External" /><Relationship Type="http://schemas.openxmlformats.org/officeDocument/2006/relationships/hyperlink" Id="rId50" Target="https://www.sec.gov/Archives/edgar/data/797468/000162828026009059/oxy-20251231.htm" TargetMode="External" /><Relationship Type="http://schemas.openxmlformats.org/officeDocument/2006/relationships/hyperlink" Id="rId54" Target="https://www.stocktitan.net/sec-filings/BKR/form-4-baker-hughes-co-insider-trading-activity-f4fac72297ae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2026-04-04T07:59:32Z</dcterms:created>
  <dcterms:modified xsi:type="dcterms:W3CDTF">2026-04-04T07:59:32Z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