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7324D"/>
          <w:sz w:val="48"/>
        </w:rPr>
        <w:t>US Mid-Cap 10x Candidates</w:t>
      </w:r>
    </w:p>
    <w:p>
      <w:pPr>
        <w:spacing w:after="120"/>
        <w:jc w:val="center"/>
      </w:pPr>
      <w:r>
        <w:rPr>
          <w:rFonts w:ascii="Aptos" w:hAnsi="Aptos"/>
          <w:color w:val="2F6B95"/>
          <w:sz w:val="26"/>
        </w:rPr>
        <w:t>10 US-listed stocks in the c.$1bn-$5bn range with a credible path toward c.$50bn</w:t>
      </w:r>
    </w:p>
    <w:p>
      <w:pPr>
        <w:spacing w:after="360"/>
        <w:jc w:val="center"/>
      </w:pPr>
      <w:r>
        <w:rPr>
          <w:rFonts w:ascii="Aptos" w:hAnsi="Aptos"/>
          <w:i/>
          <w:color w:val="666666"/>
          <w:sz w:val="21"/>
        </w:rPr>
        <w:t>Prepared for portfolio screening and idea generation</w:t>
      </w:r>
    </w:p>
    <w:tbl>
      <w:tblPr>
        <w:tblW w:type="auto" w:w="0"/>
        <w:jc w:val="center"/>
        <w:tblLayout w:type="fixed"/>
        <w:tblLook w:firstColumn="1" w:firstRow="1" w:lastColumn="0" w:lastRow="0" w:noHBand="0" w:noVBand="1" w:val="04A0"/>
      </w:tblPr>
      <w:tblGrid>
        <w:gridCol w:w="9936"/>
      </w:tblGrid>
      <w:tr>
        <w:tc>
          <w:tcPr>
            <w:tcW w:type="dxa" w:w="9072"/>
            <w:shd w:fill="EAF3F8"/>
            <w:tcBorders>
              <w:top w:val="single" w:sz="8" w:space="0" w:color="B8C7D1"/>
              <w:left w:val="single" w:sz="8" w:space="0" w:color="B8C7D1"/>
              <w:bottom w:val="single" w:sz="8" w:space="0" w:color="B8C7D1"/>
              <w:right w:val="single" w:sz="8" w:space="0" w:color="B8C7D1"/>
            </w:tcBorders>
            <w:tcMar>
              <w:top w:w="120" w:type="dxa"/>
              <w:start w:w="140" w:type="dxa"/>
              <w:bottom w:w="120" w:type="dxa"/>
              <w:end w:w="140" w:type="dxa"/>
            </w:tcMar>
          </w:tcPr>
          <w:p>
            <w:pPr>
              <w:spacing w:after="80"/>
            </w:pPr>
            <w:r>
              <w:rPr>
                <w:b/>
                <w:color w:val="17324D"/>
                <w:sz w:val="22"/>
              </w:rPr>
              <w:t>Core framing</w:t>
            </w:r>
          </w:p>
          <w:p>
            <w:pPr>
              <w:spacing w:after="40"/>
              <w:ind w:left="115" w:hanging="173"/>
            </w:pPr>
            <w:r>
              <w:rPr>
                <w:color w:val="2F6B95"/>
              </w:rPr>
              <w:t xml:space="preserve">• </w:t>
            </w:r>
            <w:r>
              <w:rPr>
                <w:sz w:val="20"/>
              </w:rPr>
              <w:t>A move from roughly $1bn-$5bn to $50bn implies a 10x-40x outcome. That is rare.</w:t>
            </w:r>
          </w:p>
          <w:p>
            <w:pPr>
              <w:spacing w:after="40"/>
              <w:ind w:left="115" w:hanging="173"/>
            </w:pPr>
            <w:r>
              <w:rPr>
                <w:color w:val="2F6B95"/>
              </w:rPr>
              <w:t xml:space="preserve">• </w:t>
            </w:r>
            <w:r>
              <w:rPr>
                <w:sz w:val="20"/>
              </w:rPr>
              <w:t>This screen therefore favours businesses that already show real revenue traction, operating leverage, or strategic category leadership - not just concept stories.</w:t>
            </w:r>
          </w:p>
          <w:p>
            <w:pPr>
              <w:spacing w:after="40"/>
              <w:ind w:left="115" w:hanging="173"/>
            </w:pPr>
            <w:r>
              <w:rPr>
                <w:color w:val="2F6B95"/>
              </w:rPr>
              <w:t xml:space="preserve">• </w:t>
            </w:r>
            <w:r>
              <w:rPr>
                <w:sz w:val="20"/>
              </w:rPr>
              <w:t>The list is split between cleaner institutional-quality compounders and more optionality-driven names.</w:t>
            </w:r>
          </w:p>
        </w:tc>
      </w:tr>
    </w:tbl>
    <w:p>
      <w:pPr>
        <w:spacing w:before="0" w:after="0"/>
      </w:pPr>
    </w:p>
    <w:p>
      <w:pPr>
        <w:jc w:val="center"/>
      </w:pPr>
      <w:r>
        <w:rPr>
          <w:rFonts w:ascii="Aptos" w:hAnsi="Aptos"/>
          <w:color w:val="666666"/>
          <w:sz w:val="20"/>
        </w:rPr>
        <w:t>Date: 7 April 2026</w:t>
      </w:r>
    </w:p>
    <w:p>
      <w:r>
        <w:br w:type="page"/>
      </w:r>
    </w:p>
    <w:p>
      <w:pPr>
        <w:spacing w:before="160" w:after="60"/>
      </w:pPr>
      <w:r>
        <w:rPr>
          <w:rFonts w:ascii="Aptos" w:hAnsi="Aptos"/>
          <w:b/>
          <w:color w:val="17324D"/>
          <w:sz w:val="30"/>
        </w:rPr>
        <w:t>Executive summary</w:t>
      </w:r>
    </w:p>
    <w:p>
      <w:pPr>
        <w:spacing w:after="120"/>
      </w:pPr>
      <w:r>
        <w:rPr>
          <w:rFonts w:ascii="Aptos" w:hAnsi="Aptos"/>
          <w:b/>
          <w:i w:val="0"/>
          <w:color w:val="17324D"/>
        </w:rPr>
        <w:t xml:space="preserve">Best blend of quality and upside potential: </w:t>
      </w:r>
      <w:r>
        <w:rPr>
          <w:rFonts w:ascii="Aptos" w:hAnsi="Aptos"/>
          <w:b w:val="0"/>
          <w:i w:val="0"/>
        </w:rPr>
        <w:t xml:space="preserve">Hims &amp; Hers, TransMedics, Zeta Global, Doximity and Braze. </w:t>
      </w:r>
      <w:r>
        <w:rPr>
          <w:rFonts w:ascii="Aptos" w:hAnsi="Aptos"/>
          <w:b w:val="0"/>
          <w:i w:val="0"/>
        </w:rPr>
        <w:t>These names already show material revenue scale, category tailwinds, and improving economics.</w:t>
      </w:r>
    </w:p>
    <w:p>
      <w:pPr>
        <w:spacing w:after="120"/>
      </w:pPr>
      <w:r>
        <w:rPr>
          <w:rFonts w:ascii="Aptos" w:hAnsi="Aptos"/>
          <w:b/>
          <w:i w:val="0"/>
          <w:color w:val="17324D"/>
        </w:rPr>
        <w:t xml:space="preserve">More speculative but still fundamentally grounded: </w:t>
      </w:r>
      <w:r>
        <w:rPr>
          <w:rFonts w:ascii="Aptos" w:hAnsi="Aptos"/>
          <w:b w:val="0"/>
          <w:i w:val="0"/>
        </w:rPr>
        <w:t xml:space="preserve">Freshworks, GeneDx, Innodata and Sezzle. </w:t>
      </w:r>
      <w:r>
        <w:rPr>
          <w:rFonts w:ascii="Aptos" w:hAnsi="Aptos"/>
          <w:b w:val="0"/>
          <w:i w:val="0"/>
        </w:rPr>
        <w:t>Each has a live secular tailwind, but the path to $50bn depends on sustained execution and further multiple expansion.</w:t>
      </w:r>
    </w:p>
    <w:p>
      <w:pPr>
        <w:spacing w:after="120"/>
      </w:pPr>
      <w:r>
        <w:rPr>
          <w:rFonts w:ascii="Aptos" w:hAnsi="Aptos"/>
          <w:b/>
          <w:i w:val="0"/>
          <w:color w:val="17324D"/>
        </w:rPr>
        <w:t xml:space="preserve">Complex outlier: </w:t>
      </w:r>
      <w:r>
        <w:rPr>
          <w:rFonts w:ascii="Aptos" w:hAnsi="Aptos"/>
          <w:b w:val="0"/>
          <w:i w:val="0"/>
        </w:rPr>
        <w:t xml:space="preserve">Oscar Health. </w:t>
      </w:r>
      <w:r>
        <w:rPr>
          <w:rFonts w:ascii="Aptos" w:hAnsi="Aptos"/>
          <w:b w:val="0"/>
          <w:i w:val="0"/>
        </w:rPr>
        <w:t>The revenue base is already large enough to matter, but the insurance model is structurally harder to scale cleanly than software or medical platform models.</w:t>
      </w:r>
    </w:p>
    <w:tbl>
      <w:tblPr>
        <w:tblW w:type="auto" w:w="0"/>
        <w:jc w:val="center"/>
        <w:tblLayout w:type="fixed"/>
        <w:tblLook w:firstColumn="1" w:firstRow="1" w:lastColumn="0" w:lastRow="0" w:noHBand="0" w:noVBand="1" w:val="04A0"/>
      </w:tblPr>
      <w:tblGrid>
        <w:gridCol w:w="9936"/>
      </w:tblGrid>
      <w:tr>
        <w:tc>
          <w:tcPr>
            <w:tcW w:type="dxa" w:w="9504"/>
            <w:shd w:fill="F5F7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r>
              <w:rPr>
                <w:b/>
                <w:color w:val="17324D"/>
                <w:sz w:val="22"/>
              </w:rPr>
              <w:t>Selection approach</w:t>
            </w:r>
          </w:p>
          <w:p>
            <w:pPr>
              <w:spacing w:after="40"/>
              <w:ind w:left="115" w:hanging="173"/>
            </w:pPr>
            <w:r>
              <w:rPr>
                <w:color w:val="2F6B95"/>
              </w:rPr>
              <w:t xml:space="preserve">• </w:t>
            </w:r>
            <w:r>
              <w:rPr>
                <w:sz w:val="20"/>
              </w:rPr>
              <w:t>Current market capitalisation screened to roughly $1bn-$5bn, based on public market-cap references from 2-7 April 2026.</w:t>
            </w:r>
          </w:p>
          <w:p>
            <w:pPr>
              <w:spacing w:after="40"/>
              <w:ind w:left="115" w:hanging="173"/>
            </w:pPr>
            <w:r>
              <w:rPr>
                <w:color w:val="2F6B95"/>
              </w:rPr>
              <w:t xml:space="preserve">• </w:t>
            </w:r>
            <w:r>
              <w:rPr>
                <w:sz w:val="20"/>
              </w:rPr>
              <w:t>Preference for sectors with live secular tailwinds: AI software, healthcare platforms, medical technology, genomics, digital payments and vertical software.</w:t>
            </w:r>
          </w:p>
          <w:p>
            <w:pPr>
              <w:spacing w:after="40"/>
              <w:ind w:left="115" w:hanging="173"/>
            </w:pPr>
            <w:r>
              <w:rPr>
                <w:color w:val="2F6B95"/>
              </w:rPr>
              <w:t xml:space="preserve">• </w:t>
            </w:r>
            <w:r>
              <w:rPr>
                <w:sz w:val="20"/>
              </w:rPr>
              <w:t>Bias toward companies already showing one or more of: high revenue growth, strong retention, positive EBITDA / cash flow, emerging profitability, or visible category leadership.</w:t>
            </w:r>
          </w:p>
        </w:tc>
      </w:tr>
    </w:tbl>
    <w:p>
      <w:pPr>
        <w:spacing w:before="160" w:after="60"/>
      </w:pPr>
      <w:r>
        <w:rPr>
          <w:rFonts w:ascii="Aptos" w:hAnsi="Aptos"/>
          <w:b/>
          <w:color w:val="17324D"/>
          <w:sz w:val="30"/>
        </w:rPr>
        <w:t>Ranked list</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504"/>
            <w:shd w:fill="17324D"/>
            <w:tcMar>
              <w:top w:w="90" w:type="dxa"/>
              <w:start w:w="90" w:type="dxa"/>
              <w:bottom w:w="90" w:type="dxa"/>
              <w:end w:w="90" w:type="dxa"/>
            </w:tcMar>
            <w:vAlign w:val="center"/>
            <w:tcBorders>
              <w:top w:val="single" w:sz="6" w:space="0" w:color="B8C7D1"/>
              <w:left w:val="single" w:sz="6" w:space="0" w:color="B8C7D1"/>
              <w:bottom w:val="single" w:sz="6" w:space="0" w:color="B8C7D1"/>
              <w:right w:val="single" w:sz="6" w:space="0" w:color="B8C7D1"/>
            </w:tcBorders>
          </w:tcPr>
          <w:p>
            <w:pPr>
              <w:jc w:val="center"/>
            </w:pPr>
            <w:r>
              <w:rPr>
                <w:b/>
                <w:color w:val="FFFFFF"/>
                <w:sz w:val="19"/>
              </w:rPr>
              <w:t>#</w:t>
            </w:r>
          </w:p>
        </w:tc>
        <w:tc>
          <w:tcPr>
            <w:tcW w:type="dxa" w:w="792"/>
            <w:shd w:fill="17324D"/>
            <w:tcMar>
              <w:top w:w="90" w:type="dxa"/>
              <w:start w:w="90" w:type="dxa"/>
              <w:bottom w:w="90" w:type="dxa"/>
              <w:end w:w="90" w:type="dxa"/>
            </w:tcMar>
            <w:vAlign w:val="center"/>
            <w:tcBorders>
              <w:top w:val="single" w:sz="6" w:space="0" w:color="B8C7D1"/>
              <w:left w:val="single" w:sz="6" w:space="0" w:color="B8C7D1"/>
              <w:bottom w:val="single" w:sz="6" w:space="0" w:color="B8C7D1"/>
              <w:right w:val="single" w:sz="6" w:space="0" w:color="B8C7D1"/>
            </w:tcBorders>
          </w:tcPr>
          <w:p>
            <w:pPr>
              <w:jc w:val="center"/>
            </w:pPr>
            <w:r>
              <w:rPr>
                <w:b/>
                <w:color w:val="FFFFFF"/>
                <w:sz w:val="19"/>
              </w:rPr>
              <w:t>Ticker</w:t>
            </w:r>
          </w:p>
        </w:tc>
        <w:tc>
          <w:tcPr>
            <w:tcW w:type="dxa" w:w="1728"/>
            <w:shd w:fill="17324D"/>
            <w:tcMar>
              <w:top w:w="90" w:type="dxa"/>
              <w:start w:w="90" w:type="dxa"/>
              <w:bottom w:w="90" w:type="dxa"/>
              <w:end w:w="90" w:type="dxa"/>
            </w:tcMar>
            <w:vAlign w:val="center"/>
            <w:tcBorders>
              <w:top w:val="single" w:sz="6" w:space="0" w:color="B8C7D1"/>
              <w:left w:val="single" w:sz="6" w:space="0" w:color="B8C7D1"/>
              <w:bottom w:val="single" w:sz="6" w:space="0" w:color="B8C7D1"/>
              <w:right w:val="single" w:sz="6" w:space="0" w:color="B8C7D1"/>
            </w:tcBorders>
          </w:tcPr>
          <w:p>
            <w:pPr>
              <w:jc w:val="center"/>
            </w:pPr>
            <w:r>
              <w:rPr>
                <w:b/>
                <w:color w:val="FFFFFF"/>
                <w:sz w:val="19"/>
              </w:rPr>
              <w:t>Company</w:t>
            </w:r>
          </w:p>
        </w:tc>
        <w:tc>
          <w:tcPr>
            <w:tcW w:type="dxa" w:w="1440"/>
            <w:shd w:fill="17324D"/>
            <w:tcMar>
              <w:top w:w="90" w:type="dxa"/>
              <w:start w:w="90" w:type="dxa"/>
              <w:bottom w:w="90" w:type="dxa"/>
              <w:end w:w="90" w:type="dxa"/>
            </w:tcMar>
            <w:vAlign w:val="center"/>
            <w:tcBorders>
              <w:top w:val="single" w:sz="6" w:space="0" w:color="B8C7D1"/>
              <w:left w:val="single" w:sz="6" w:space="0" w:color="B8C7D1"/>
              <w:bottom w:val="single" w:sz="6" w:space="0" w:color="B8C7D1"/>
              <w:right w:val="single" w:sz="6" w:space="0" w:color="B8C7D1"/>
            </w:tcBorders>
          </w:tcPr>
          <w:p>
            <w:pPr>
              <w:jc w:val="center"/>
            </w:pPr>
            <w:r>
              <w:rPr>
                <w:b/>
                <w:color w:val="FFFFFF"/>
                <w:sz w:val="19"/>
              </w:rPr>
              <w:t>Approx. mkt cap</w:t>
            </w:r>
          </w:p>
        </w:tc>
        <w:tc>
          <w:tcPr>
            <w:tcW w:type="dxa" w:w="2160"/>
            <w:shd w:fill="17324D"/>
            <w:tcMar>
              <w:top w:w="90" w:type="dxa"/>
              <w:start w:w="90" w:type="dxa"/>
              <w:bottom w:w="90" w:type="dxa"/>
              <w:end w:w="90" w:type="dxa"/>
            </w:tcMar>
            <w:vAlign w:val="center"/>
            <w:tcBorders>
              <w:top w:val="single" w:sz="6" w:space="0" w:color="B8C7D1"/>
              <w:left w:val="single" w:sz="6" w:space="0" w:color="B8C7D1"/>
              <w:bottom w:val="single" w:sz="6" w:space="0" w:color="B8C7D1"/>
              <w:right w:val="single" w:sz="6" w:space="0" w:color="B8C7D1"/>
            </w:tcBorders>
          </w:tcPr>
          <w:p>
            <w:pPr>
              <w:jc w:val="center"/>
            </w:pPr>
            <w:r>
              <w:rPr>
                <w:b/>
                <w:color w:val="FFFFFF"/>
                <w:sz w:val="19"/>
              </w:rPr>
              <w:t>Theme</w:t>
            </w:r>
          </w:p>
        </w:tc>
        <w:tc>
          <w:tcPr>
            <w:tcW w:type="dxa" w:w="1296"/>
            <w:shd w:fill="17324D"/>
            <w:tcMar>
              <w:top w:w="90" w:type="dxa"/>
              <w:start w:w="90" w:type="dxa"/>
              <w:bottom w:w="90" w:type="dxa"/>
              <w:end w:w="90" w:type="dxa"/>
            </w:tcMar>
            <w:vAlign w:val="center"/>
            <w:tcBorders>
              <w:top w:val="single" w:sz="6" w:space="0" w:color="B8C7D1"/>
              <w:left w:val="single" w:sz="6" w:space="0" w:color="B8C7D1"/>
              <w:bottom w:val="single" w:sz="6" w:space="0" w:color="B8C7D1"/>
              <w:right w:val="single" w:sz="6" w:space="0" w:color="B8C7D1"/>
            </w:tcBorders>
          </w:tcPr>
          <w:p>
            <w:pPr>
              <w:jc w:val="center"/>
            </w:pPr>
            <w:r>
              <w:rPr>
                <w:b/>
                <w:color w:val="FFFFFF"/>
                <w:sz w:val="19"/>
              </w:rPr>
              <w:t>Path rating</w:t>
            </w:r>
          </w:p>
        </w:tc>
        <w:tc>
          <w:tcPr>
            <w:tcW w:type="dxa" w:w="2592"/>
            <w:shd w:fill="17324D"/>
            <w:tcMar>
              <w:top w:w="90" w:type="dxa"/>
              <w:start w:w="90" w:type="dxa"/>
              <w:bottom w:w="90" w:type="dxa"/>
              <w:end w:w="90" w:type="dxa"/>
            </w:tcMar>
            <w:vAlign w:val="center"/>
            <w:tcBorders>
              <w:top w:val="single" w:sz="6" w:space="0" w:color="B8C7D1"/>
              <w:left w:val="single" w:sz="6" w:space="0" w:color="B8C7D1"/>
              <w:bottom w:val="single" w:sz="6" w:space="0" w:color="B8C7D1"/>
              <w:right w:val="single" w:sz="6" w:space="0" w:color="B8C7D1"/>
            </w:tcBorders>
          </w:tcPr>
          <w:p>
            <w:pPr>
              <w:jc w:val="center"/>
            </w:pPr>
            <w:r>
              <w:rPr>
                <w:b/>
                <w:color w:val="FFFFFF"/>
                <w:sz w:val="19"/>
              </w:rPr>
              <w:t>One-line thesis</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1</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HIMS</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Hims &amp; Hers</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$4.4bn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Telehealth / consumer health</w:t>
            </w:r>
          </w:p>
        </w:tc>
        <w:tc>
          <w:tcPr>
            <w:tcW w:type="dxa" w:w="1296"/>
            <w:tcMar>
              <w:top w:w="70" w:type="dxa"/>
              <w:start w:w="85" w:type="dxa"/>
              <w:bottom w:w="70" w:type="dxa"/>
              <w:end w:w="85" w:type="dxa"/>
            </w:tcMar>
            <w:vAlign w:val="center"/>
            <w:shd w:fill="E7F4EA"/>
            <w:tcBorders>
              <w:top w:val="single" w:sz="6" w:space="0" w:color="B8C7D1"/>
              <w:left w:val="single" w:sz="6" w:space="0" w:color="B8C7D1"/>
              <w:bottom w:val="single" w:sz="6" w:space="0" w:color="B8C7D1"/>
              <w:right w:val="single" w:sz="6" w:space="0" w:color="B8C7D1"/>
            </w:tcBorders>
          </w:tcPr>
          <w:p>
            <w:pPr>
              <w:spacing w:after="0"/>
              <w:jc w:val="center"/>
            </w:pPr>
            <w:r>
              <w:rPr>
                <w:sz w:val="18"/>
              </w:rPr>
              <w:t>High</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Fast growth, profitable, brand/platform optionality</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2</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TMDX</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TransMedics</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$3.5bn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Medtech / transplant platform</w:t>
            </w:r>
          </w:p>
        </w:tc>
        <w:tc>
          <w:tcPr>
            <w:tcW w:type="dxa" w:w="1296"/>
            <w:tcMar>
              <w:top w:w="70" w:type="dxa"/>
              <w:start w:w="85" w:type="dxa"/>
              <w:bottom w:w="70" w:type="dxa"/>
              <w:end w:w="85" w:type="dxa"/>
            </w:tcMar>
            <w:vAlign w:val="center"/>
            <w:shd w:fill="E7F4EA"/>
            <w:tcBorders>
              <w:top w:val="single" w:sz="6" w:space="0" w:color="B8C7D1"/>
              <w:left w:val="single" w:sz="6" w:space="0" w:color="B8C7D1"/>
              <w:bottom w:val="single" w:sz="6" w:space="0" w:color="B8C7D1"/>
              <w:right w:val="single" w:sz="6" w:space="0" w:color="B8C7D1"/>
            </w:tcBorders>
          </w:tcPr>
          <w:p>
            <w:pPr>
              <w:spacing w:after="0"/>
              <w:jc w:val="center"/>
            </w:pPr>
            <w:r>
              <w:rPr>
                <w:sz w:val="18"/>
              </w:rPr>
              <w:t>High</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Category creator with logistics moat</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3</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ZETA</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Zeta Global</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$3.9bn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AI marketing software</w:t>
            </w:r>
          </w:p>
        </w:tc>
        <w:tc>
          <w:tcPr>
            <w:tcW w:type="dxa" w:w="1296"/>
            <w:tcMar>
              <w:top w:w="70" w:type="dxa"/>
              <w:start w:w="85" w:type="dxa"/>
              <w:bottom w:w="70" w:type="dxa"/>
              <w:end w:w="85" w:type="dxa"/>
            </w:tcMar>
            <w:vAlign w:val="center"/>
            <w:shd w:fill="E7F4EA"/>
            <w:tcBorders>
              <w:top w:val="single" w:sz="6" w:space="0" w:color="B8C7D1"/>
              <w:left w:val="single" w:sz="6" w:space="0" w:color="B8C7D1"/>
              <w:bottom w:val="single" w:sz="6" w:space="0" w:color="B8C7D1"/>
              <w:right w:val="single" w:sz="6" w:space="0" w:color="B8C7D1"/>
            </w:tcBorders>
          </w:tcPr>
          <w:p>
            <w:pPr>
              <w:spacing w:after="0"/>
              <w:jc w:val="center"/>
            </w:pPr>
            <w:r>
              <w:rPr>
                <w:sz w:val="18"/>
              </w:rPr>
              <w:t>High</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30% growth and strong cash generation</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4</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DOCS</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Doximity</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$4.3bn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Digital health network / software</w:t>
            </w:r>
          </w:p>
        </w:tc>
        <w:tc>
          <w:tcPr>
            <w:tcW w:type="dxa" w:w="1296"/>
            <w:tcMar>
              <w:top w:w="70" w:type="dxa"/>
              <w:start w:w="85" w:type="dxa"/>
              <w:bottom w:w="70" w:type="dxa"/>
              <w:end w:w="85" w:type="dxa"/>
            </w:tcMar>
            <w:vAlign w:val="center"/>
            <w:shd w:fill="E7F4EA"/>
            <w:tcBorders>
              <w:top w:val="single" w:sz="6" w:space="0" w:color="B8C7D1"/>
              <w:left w:val="single" w:sz="6" w:space="0" w:color="B8C7D1"/>
              <w:bottom w:val="single" w:sz="6" w:space="0" w:color="B8C7D1"/>
              <w:right w:val="single" w:sz="6" w:space="0" w:color="B8C7D1"/>
            </w:tcBorders>
          </w:tcPr>
          <w:p>
            <w:pPr>
              <w:spacing w:after="0"/>
              <w:jc w:val="center"/>
            </w:pPr>
            <w:r>
              <w:rPr>
                <w:sz w:val="18"/>
              </w:rPr>
              <w:t>High</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Exceptional margins and physician network effects</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5</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BRZE</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Braze</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$2.7bn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Customer engagement software</w:t>
            </w:r>
          </w:p>
        </w:tc>
        <w:tc>
          <w:tcPr>
            <w:tcW w:type="dxa" w:w="1296"/>
            <w:tcMar>
              <w:top w:w="70" w:type="dxa"/>
              <w:start w:w="85" w:type="dxa"/>
              <w:bottom w:w="70" w:type="dxa"/>
              <w:end w:w="85" w:type="dxa"/>
            </w:tcMar>
            <w:vAlign w:val="center"/>
            <w:shd w:fill="EEF6E7"/>
            <w:tcBorders>
              <w:top w:val="single" w:sz="6" w:space="0" w:color="B8C7D1"/>
              <w:left w:val="single" w:sz="6" w:space="0" w:color="B8C7D1"/>
              <w:bottom w:val="single" w:sz="6" w:space="0" w:color="B8C7D1"/>
              <w:right w:val="single" w:sz="6" w:space="0" w:color="B8C7D1"/>
            </w:tcBorders>
          </w:tcPr>
          <w:p>
            <w:pPr>
              <w:spacing w:after="0"/>
              <w:jc w:val="center"/>
            </w:pPr>
            <w:r>
              <w:rPr>
                <w:sz w:val="18"/>
              </w:rPr>
              <w:t>Medium-High</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Quality software platform, still scaling profits</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6</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FRSH</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Freshworks</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$2.3bn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Service software / AI ITSM</w:t>
            </w:r>
          </w:p>
        </w:tc>
        <w:tc>
          <w:tcPr>
            <w:tcW w:type="dxa" w:w="1296"/>
            <w:tcMar>
              <w:top w:w="70" w:type="dxa"/>
              <w:start w:w="85" w:type="dxa"/>
              <w:bottom w:w="70" w:type="dxa"/>
              <w:end w:w="85" w:type="dxa"/>
            </w:tcMar>
            <w:vAlign w:val="center"/>
            <w:shd w:fill="FBF5E8"/>
            <w:tcBorders>
              <w:top w:val="single" w:sz="6" w:space="0" w:color="B8C7D1"/>
              <w:left w:val="single" w:sz="6" w:space="0" w:color="B8C7D1"/>
              <w:bottom w:val="single" w:sz="6" w:space="0" w:color="B8C7D1"/>
              <w:right w:val="single" w:sz="6" w:space="0" w:color="B8C7D1"/>
            </w:tcBorders>
          </w:tcPr>
          <w:p>
            <w:pPr>
              <w:spacing w:after="0"/>
              <w:jc w:val="center"/>
            </w:pPr>
            <w:r>
              <w:rPr>
                <w:sz w:val="18"/>
              </w:rPr>
              <w:t>Medium</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Profitable inflection, but slower growth</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7</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WGS</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GeneDx</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$1.9bn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Genomics / diagnostics</w:t>
            </w:r>
          </w:p>
        </w:tc>
        <w:tc>
          <w:tcPr>
            <w:tcW w:type="dxa" w:w="1296"/>
            <w:tcMar>
              <w:top w:w="70" w:type="dxa"/>
              <w:start w:w="85" w:type="dxa"/>
              <w:bottom w:w="70" w:type="dxa"/>
              <w:end w:w="85" w:type="dxa"/>
            </w:tcMar>
            <w:vAlign w:val="center"/>
            <w:shd w:fill="FBF5E8"/>
            <w:tcBorders>
              <w:top w:val="single" w:sz="6" w:space="0" w:color="B8C7D1"/>
              <w:left w:val="single" w:sz="6" w:space="0" w:color="B8C7D1"/>
              <w:bottom w:val="single" w:sz="6" w:space="0" w:color="B8C7D1"/>
              <w:right w:val="single" w:sz="6" w:space="0" w:color="B8C7D1"/>
            </w:tcBorders>
          </w:tcPr>
          <w:p>
            <w:pPr>
              <w:spacing w:after="0"/>
              <w:jc w:val="center"/>
            </w:pPr>
            <w:r>
              <w:rPr>
                <w:sz w:val="18"/>
              </w:rPr>
              <w:t>Medium</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Rapid growth plus data moat</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8</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INOD</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Innodata</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$1.3bn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AI data infrastructure</w:t>
            </w:r>
          </w:p>
        </w:tc>
        <w:tc>
          <w:tcPr>
            <w:tcW w:type="dxa" w:w="1296"/>
            <w:tcMar>
              <w:top w:w="70" w:type="dxa"/>
              <w:start w:w="85" w:type="dxa"/>
              <w:bottom w:w="70" w:type="dxa"/>
              <w:end w:w="85" w:type="dxa"/>
            </w:tcMar>
            <w:vAlign w:val="center"/>
            <w:shd w:fill="FBF5E8"/>
            <w:tcBorders>
              <w:top w:val="single" w:sz="6" w:space="0" w:color="B8C7D1"/>
              <w:left w:val="single" w:sz="6" w:space="0" w:color="B8C7D1"/>
              <w:bottom w:val="single" w:sz="6" w:space="0" w:color="B8C7D1"/>
              <w:right w:val="single" w:sz="6" w:space="0" w:color="B8C7D1"/>
            </w:tcBorders>
          </w:tcPr>
          <w:p>
            <w:pPr>
              <w:spacing w:after="0"/>
              <w:jc w:val="center"/>
            </w:pPr>
            <w:r>
              <w:rPr>
                <w:sz w:val="18"/>
              </w:rPr>
              <w:t>Medium</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Strong AI picks-and-shovels torque</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9</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SEZL</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Sezzle</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$2.3bn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Fintech / BNPL</w:t>
            </w:r>
          </w:p>
        </w:tc>
        <w:tc>
          <w:tcPr>
            <w:tcW w:type="dxa" w:w="1296"/>
            <w:tcMar>
              <w:top w:w="70" w:type="dxa"/>
              <w:start w:w="85" w:type="dxa"/>
              <w:bottom w:w="70" w:type="dxa"/>
              <w:end w:w="85" w:type="dxa"/>
            </w:tcMar>
            <w:vAlign w:val="center"/>
            <w:shd w:fill="FBF5E8"/>
            <w:tcBorders>
              <w:top w:val="single" w:sz="6" w:space="0" w:color="B8C7D1"/>
              <w:left w:val="single" w:sz="6" w:space="0" w:color="B8C7D1"/>
              <w:bottom w:val="single" w:sz="6" w:space="0" w:color="B8C7D1"/>
              <w:right w:val="single" w:sz="6" w:space="0" w:color="B8C7D1"/>
            </w:tcBorders>
          </w:tcPr>
          <w:p>
            <w:pPr>
              <w:spacing w:after="0"/>
              <w:jc w:val="center"/>
            </w:pPr>
            <w:r>
              <w:rPr>
                <w:sz w:val="18"/>
              </w:rPr>
              <w:t>Medium</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Strong momentum, but competitive space</w:t>
            </w:r>
          </w:p>
        </w:tc>
      </w:tr>
      <w:tr>
        <w:tc>
          <w:tcPr>
            <w:tcW w:type="dxa" w:w="504"/>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10</w:t>
            </w:r>
          </w:p>
        </w:tc>
        <w:tc>
          <w:tcPr>
            <w:tcW w:type="dxa" w:w="7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OSCR</w:t>
            </w:r>
          </w:p>
        </w:tc>
        <w:tc>
          <w:tcPr>
            <w:tcW w:type="dxa" w:w="1728"/>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Oscar Health</w:t>
            </w:r>
          </w:p>
        </w:tc>
        <w:tc>
          <w:tcPr>
            <w:tcW w:type="dxa" w:w="144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$3.6bn</w:t>
            </w:r>
          </w:p>
        </w:tc>
        <w:tc>
          <w:tcPr>
            <w:tcW w:type="dxa" w:w="2160"/>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Digital health insurance</w:t>
            </w:r>
          </w:p>
        </w:tc>
        <w:tc>
          <w:tcPr>
            <w:tcW w:type="dxa" w:w="1296"/>
            <w:tcMar>
              <w:top w:w="70" w:type="dxa"/>
              <w:start w:w="85" w:type="dxa"/>
              <w:bottom w:w="70" w:type="dxa"/>
              <w:end w:w="85" w:type="dxa"/>
            </w:tcMar>
            <w:vAlign w:val="center"/>
            <w:shd w:fill="FBEFEF"/>
            <w:tcBorders>
              <w:top w:val="single" w:sz="6" w:space="0" w:color="B8C7D1"/>
              <w:left w:val="single" w:sz="6" w:space="0" w:color="B8C7D1"/>
              <w:bottom w:val="single" w:sz="6" w:space="0" w:color="B8C7D1"/>
              <w:right w:val="single" w:sz="6" w:space="0" w:color="B8C7D1"/>
            </w:tcBorders>
          </w:tcPr>
          <w:p>
            <w:pPr>
              <w:spacing w:after="0"/>
              <w:jc w:val="center"/>
            </w:pPr>
            <w:r>
              <w:rPr>
                <w:sz w:val="18"/>
              </w:rPr>
              <w:t>Stretch</w:t>
            </w:r>
          </w:p>
        </w:tc>
        <w:tc>
          <w:tcPr>
            <w:tcW w:type="dxa" w:w="259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left"/>
            </w:pPr>
            <w:r>
              <w:rPr>
                <w:sz w:val="18"/>
              </w:rPr>
              <w:t>Scale is large, model complexity is higher</w:t>
            </w:r>
          </w:p>
        </w:tc>
      </w:tr>
    </w:tbl>
    <w:p>
      <w:pPr>
        <w:spacing w:before="80"/>
      </w:pPr>
      <w:r>
        <w:rPr>
          <w:b/>
          <w:color w:val="17324D"/>
        </w:rPr>
        <w:t xml:space="preserve">Interpretation of path rating: </w:t>
      </w:r>
      <w:r>
        <w:rPr>
          <w:sz w:val="19"/>
        </w:rPr>
        <w:t>High = cleaner route to becoming a much larger business; Medium = credible but execution-sensitive; Stretch = possible, but would require several moving parts to align.</w:t>
      </w:r>
    </w:p>
    <w:p>
      <w:pPr>
        <w:spacing w:before="160" w:after="60"/>
      </w:pPr>
      <w:r>
        <w:rPr>
          <w:rFonts w:ascii="Aptos" w:hAnsi="Aptos"/>
          <w:b/>
          <w:color w:val="17324D"/>
          <w:sz w:val="30"/>
        </w:rPr>
        <w:t>Detailed company notes</w:t>
      </w:r>
    </w:p>
    <w:p>
      <w:pPr>
        <w:spacing w:after="160"/>
      </w:pPr>
      <w:r>
        <w:rPr>
          <w:sz w:val="20"/>
        </w:rPr>
        <w:t>Format: each profile combines verified recent operating data with an analytical view of what would have to happen for a mid-cap stock to become a much larger strategic platform.</w:t>
      </w:r>
    </w:p>
    <w:tbl>
      <w:tblPr>
        <w:tblW w:type="auto" w:w="0"/>
        <w:jc w:val="center"/>
        <w:tblLayout w:type="fixed"/>
        <w:tblLook w:firstColumn="1" w:firstRow="1" w:lastColumn="0" w:lastRow="0" w:noHBand="0" w:noVBand="1" w:val="04A0"/>
      </w:tblPr>
      <w:tblGrid>
        <w:gridCol w:w="9936"/>
      </w:tblGrid>
      <w:tr>
        <w:tc>
          <w:tcPr>
            <w:tcW w:type="dxa" w:w="9648"/>
            <w:shd w:fill="EAF3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1. Hims &amp; Hers Health (HIMS)</w:t>
            </w:r>
          </w:p>
          <w:p>
            <w:pPr>
              <w:spacing w:after="0"/>
            </w:pPr>
            <w:r>
              <w:rPr>
                <w:color w:val="666666"/>
                <w:sz w:val="19"/>
              </w:rPr>
              <w:t>Approx. market cap: c.$4.4bn   |   Theme: Telehealth / consumer health platform</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approximately $2.35bn, up 59% year on year.</w:t>
      </w:r>
    </w:p>
    <w:p>
      <w:pPr>
        <w:spacing w:after="40" w:before="0"/>
        <w:ind w:left="648" w:hanging="202"/>
      </w:pPr>
      <w:r>
        <w:rPr>
          <w:rFonts w:ascii="Aptos" w:hAnsi="Aptos"/>
          <w:b w:val="0"/>
          <w:i w:val="0"/>
          <w:color w:val="2F6B95"/>
          <w:sz w:val="21"/>
        </w:rPr>
        <w:t xml:space="preserve">• </w:t>
      </w:r>
      <w:r>
        <w:rPr>
          <w:rFonts w:ascii="Aptos" w:hAnsi="Aptos"/>
          <w:b w:val="0"/>
          <w:i w:val="0"/>
        </w:rPr>
        <w:t>2025 net income of $128m and adjusted EBITDA of $318m.</w:t>
      </w:r>
    </w:p>
    <w:p>
      <w:pPr>
        <w:spacing w:after="40" w:before="0"/>
        <w:ind w:left="648" w:hanging="202"/>
      </w:pPr>
      <w:r>
        <w:rPr>
          <w:rFonts w:ascii="Aptos" w:hAnsi="Aptos"/>
          <w:b w:val="0"/>
          <w:i w:val="0"/>
          <w:color w:val="2F6B95"/>
          <w:sz w:val="21"/>
        </w:rPr>
        <w:t xml:space="preserve">• </w:t>
      </w:r>
      <w:r>
        <w:rPr>
          <w:rFonts w:ascii="Aptos" w:hAnsi="Aptos"/>
          <w:b w:val="0"/>
          <w:i w:val="0"/>
        </w:rPr>
        <w:t>2026 revenue guidance of $2.7bn-$2.9bn.</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Hims already looks more like a scaled consumer platform than a narrow telehealth niche. The brand is strong, the customer acquisition engine is proven, and the model has recurring revenue characteristics across multiple treatment categories.</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To justify $50bn, Hims would likely need to become a much broader digital health platform: more subscribers, deeper retention, higher wallet share, and further expansion into chronic care, diagnostics, pharmacy and premium services. The attraction is that the business is already profitable while still growing quickly.</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Regulatory scrutiny, customer concentration in a few hero categories, pricing pressure in GLP-1 or other headline categories, and any deterioration in trust or brand quality.</w:t>
      </w:r>
    </w:p>
    <w:tbl>
      <w:tblPr>
        <w:tblW w:type="auto" w:w="0"/>
        <w:jc w:val="center"/>
        <w:tblLayout w:type="fixed"/>
        <w:tblLook w:firstColumn="1" w:firstRow="1" w:lastColumn="0" w:lastRow="0" w:noHBand="0" w:noVBand="1" w:val="04A0"/>
      </w:tblPr>
      <w:tblGrid>
        <w:gridCol w:w="9936"/>
      </w:tblGrid>
      <w:tr>
        <w:tc>
          <w:tcPr>
            <w:tcW w:type="dxa" w:w="9648"/>
            <w:shd w:fill="F5F7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2. TransMedics (TMDX)</w:t>
            </w:r>
          </w:p>
          <w:p>
            <w:pPr>
              <w:spacing w:after="0"/>
            </w:pPr>
            <w:r>
              <w:rPr>
                <w:color w:val="666666"/>
                <w:sz w:val="19"/>
              </w:rPr>
              <w:t>Approx. market cap: c.$3.5bn   |   Theme: Medtech / transplant platform</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$605.5m, up 37% year on year.</w:t>
      </w:r>
    </w:p>
    <w:p>
      <w:pPr>
        <w:spacing w:after="40" w:before="0"/>
        <w:ind w:left="648" w:hanging="202"/>
      </w:pPr>
      <w:r>
        <w:rPr>
          <w:rFonts w:ascii="Aptos" w:hAnsi="Aptos"/>
          <w:b w:val="0"/>
          <w:i w:val="0"/>
          <w:color w:val="2F6B95"/>
          <w:sz w:val="21"/>
        </w:rPr>
        <w:t xml:space="preserve">• </w:t>
      </w:r>
      <w:r>
        <w:rPr>
          <w:rFonts w:ascii="Aptos" w:hAnsi="Aptos"/>
          <w:b w:val="0"/>
          <w:i w:val="0"/>
        </w:rPr>
        <w:t>2025 gross margin of 60%; 2026 revenue guidance of $727m-$757m, implying 20%-25% growth.</w:t>
      </w:r>
    </w:p>
    <w:p>
      <w:pPr>
        <w:spacing w:after="40" w:before="0"/>
        <w:ind w:left="648" w:hanging="202"/>
      </w:pPr>
      <w:r>
        <w:rPr>
          <w:rFonts w:ascii="Aptos" w:hAnsi="Aptos"/>
          <w:b w:val="0"/>
          <w:i w:val="0"/>
          <w:color w:val="2F6B95"/>
          <w:sz w:val="21"/>
        </w:rPr>
        <w:t xml:space="preserve">• </w:t>
      </w:r>
      <w:r>
        <w:rPr>
          <w:rFonts w:ascii="Aptos" w:hAnsi="Aptos"/>
          <w:b w:val="0"/>
          <w:i w:val="0"/>
        </w:rPr>
        <w:t>Business expansion is being driven by Organ Care System utilisation plus transplant logistics services.</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TransMedics is not merely selling a device; it is building an operating system for organ transplantation. That matters because category-creating medtech platforms can scale far beyond what a normal single-product device company can achieve.</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The $50bn case rests on OCS becoming the standard of care across more organs, geographies and logistics flows, with the company owning a critical piece of the transplant value chain. That would support premium multiples if growth remains durable.</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Procedure growth can be lumpy, reimbursement and adoption cycles can be slower than hoped, and logistics complexity can dilute margins if scaling becomes operationally messy.</w:t>
      </w:r>
    </w:p>
    <w:tbl>
      <w:tblPr>
        <w:tblW w:type="auto" w:w="0"/>
        <w:jc w:val="center"/>
        <w:tblLayout w:type="fixed"/>
        <w:tblLook w:firstColumn="1" w:firstRow="1" w:lastColumn="0" w:lastRow="0" w:noHBand="0" w:noVBand="1" w:val="04A0"/>
      </w:tblPr>
      <w:tblGrid>
        <w:gridCol w:w="9936"/>
      </w:tblGrid>
      <w:tr>
        <w:tc>
          <w:tcPr>
            <w:tcW w:type="dxa" w:w="9648"/>
            <w:shd w:fill="EAF3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3. Zeta Global (ZETA)</w:t>
            </w:r>
          </w:p>
          <w:p>
            <w:pPr>
              <w:spacing w:after="0"/>
            </w:pPr>
            <w:r>
              <w:rPr>
                <w:color w:val="666666"/>
                <w:sz w:val="19"/>
              </w:rPr>
              <w:t>Approx. market cap: c.$3.9bn   |   Theme: AI marketing software</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$1.305bn, up 30% year on year.</w:t>
      </w:r>
    </w:p>
    <w:p>
      <w:pPr>
        <w:spacing w:after="40" w:before="0"/>
        <w:ind w:left="648" w:hanging="202"/>
      </w:pPr>
      <w:r>
        <w:rPr>
          <w:rFonts w:ascii="Aptos" w:hAnsi="Aptos"/>
          <w:b w:val="0"/>
          <w:i w:val="0"/>
          <w:color w:val="2F6B95"/>
          <w:sz w:val="21"/>
        </w:rPr>
        <w:t xml:space="preserve">• </w:t>
      </w:r>
      <w:r>
        <w:rPr>
          <w:rFonts w:ascii="Aptos" w:hAnsi="Aptos"/>
          <w:b w:val="0"/>
          <w:i w:val="0"/>
        </w:rPr>
        <w:t>2025 operating cash flow of $199m, up 49%, and free cash flow of $165m, up 78%.</w:t>
      </w:r>
    </w:p>
    <w:p>
      <w:pPr>
        <w:spacing w:after="40" w:before="0"/>
        <w:ind w:left="648" w:hanging="202"/>
      </w:pPr>
      <w:r>
        <w:rPr>
          <w:rFonts w:ascii="Aptos" w:hAnsi="Aptos"/>
          <w:b w:val="0"/>
          <w:i w:val="0"/>
          <w:color w:val="2F6B95"/>
          <w:sz w:val="21"/>
        </w:rPr>
        <w:t xml:space="preserve">• </w:t>
      </w:r>
      <w:r>
        <w:rPr>
          <w:rFonts w:ascii="Aptos" w:hAnsi="Aptos"/>
          <w:b w:val="0"/>
          <w:i w:val="0"/>
        </w:rPr>
        <w:t>Management increased 2026 guidance and pointed to another year of roughly 30% revenue growth with positive GAAP net income.</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Zeta is one of the cleaner ways to play enterprise AI software below mega-cap size because it already has scale, real cash generation and customer expansion. This is not an AI concept equity; it is a live software platform with improving economics.</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A $50bn outcome would require Zeta to become a strategic enterprise layer for identity, data and AI-led marketing orchestration, with sustained 20%+ growth and higher margins over time.</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Marketing budgets remain cyclical, competition is fierce, and the market can treat adtech-adjacent businesses harshly if growth slows.</w:t>
      </w:r>
    </w:p>
    <w:tbl>
      <w:tblPr>
        <w:tblW w:type="auto" w:w="0"/>
        <w:jc w:val="center"/>
        <w:tblLayout w:type="fixed"/>
        <w:tblLook w:firstColumn="1" w:firstRow="1" w:lastColumn="0" w:lastRow="0" w:noHBand="0" w:noVBand="1" w:val="04A0"/>
      </w:tblPr>
      <w:tblGrid>
        <w:gridCol w:w="9936"/>
      </w:tblGrid>
      <w:tr>
        <w:tc>
          <w:tcPr>
            <w:tcW w:type="dxa" w:w="9648"/>
            <w:shd w:fill="F5F7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4. Doximity (DOCS)</w:t>
            </w:r>
          </w:p>
          <w:p>
            <w:pPr>
              <w:spacing w:after="0"/>
            </w:pPr>
            <w:r>
              <w:rPr>
                <w:color w:val="666666"/>
                <w:sz w:val="19"/>
              </w:rPr>
              <w:t>Approx. market cap: c.$4.3bn   |   Theme: Digital health network / workflow software</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Fiscal Q3 2026 revenue of $185.1m, up 10% year on year.</w:t>
      </w:r>
    </w:p>
    <w:p>
      <w:pPr>
        <w:spacing w:after="40" w:before="0"/>
        <w:ind w:left="648" w:hanging="202"/>
      </w:pPr>
      <w:r>
        <w:rPr>
          <w:rFonts w:ascii="Aptos" w:hAnsi="Aptos"/>
          <w:b w:val="0"/>
          <w:i w:val="0"/>
          <w:color w:val="2F6B95"/>
          <w:sz w:val="21"/>
        </w:rPr>
        <w:t xml:space="preserve">• </w:t>
      </w:r>
      <w:r>
        <w:rPr>
          <w:rFonts w:ascii="Aptos" w:hAnsi="Aptos"/>
          <w:b w:val="0"/>
          <w:i w:val="0"/>
        </w:rPr>
        <w:t>Quarterly net income of $61.6m, a 33% margin; adjusted EBITDA of $111.4m, a 60% margin.</w:t>
      </w:r>
    </w:p>
    <w:p>
      <w:pPr>
        <w:spacing w:after="40" w:before="0"/>
        <w:ind w:left="648" w:hanging="202"/>
      </w:pPr>
      <w:r>
        <w:rPr>
          <w:rFonts w:ascii="Aptos" w:hAnsi="Aptos"/>
          <w:b w:val="0"/>
          <w:i w:val="0"/>
          <w:color w:val="2F6B95"/>
          <w:sz w:val="21"/>
        </w:rPr>
        <w:t xml:space="preserve">• </w:t>
      </w:r>
      <w:r>
        <w:rPr>
          <w:rFonts w:ascii="Aptos" w:hAnsi="Aptos"/>
          <w:b w:val="0"/>
          <w:i w:val="0"/>
        </w:rPr>
        <w:t>Management highlighted record workflow-product adoption and growing use of AI features.</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Doximity has unusual business quality for a mid-cap growth stock: high margins, strong free cash generation, and a network position with U.S. medical professionals that is difficult to replicate.</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The route to $50bn is narrower than for Hims or Zeta, but still real if Doximity deepens from physician network into indispensable workflow, hiring, communications, AI assistance and pharma / provider software.</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The market may cap the multiple if growth remains in the low-teens, and monetisation expansion must continue for the network effect to be fully valued.</w:t>
      </w:r>
    </w:p>
    <w:tbl>
      <w:tblPr>
        <w:tblW w:type="auto" w:w="0"/>
        <w:jc w:val="center"/>
        <w:tblLayout w:type="fixed"/>
        <w:tblLook w:firstColumn="1" w:firstRow="1" w:lastColumn="0" w:lastRow="0" w:noHBand="0" w:noVBand="1" w:val="04A0"/>
      </w:tblPr>
      <w:tblGrid>
        <w:gridCol w:w="9936"/>
      </w:tblGrid>
      <w:tr>
        <w:tc>
          <w:tcPr>
            <w:tcW w:type="dxa" w:w="9648"/>
            <w:shd w:fill="EAF3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5. Braze (BRZE)</w:t>
            </w:r>
          </w:p>
          <w:p>
            <w:pPr>
              <w:spacing w:after="0"/>
            </w:pPr>
            <w:r>
              <w:rPr>
                <w:color w:val="666666"/>
                <w:sz w:val="19"/>
              </w:rPr>
              <w:t>Approx. market cap: c.$2.7bn   |   Theme: Customer engagement software</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Fiscal 2026 revenue of $738.2m, up 24.4% year on year.</w:t>
      </w:r>
    </w:p>
    <w:p>
      <w:pPr>
        <w:spacing w:after="40" w:before="0"/>
        <w:ind w:left="648" w:hanging="202"/>
      </w:pPr>
      <w:r>
        <w:rPr>
          <w:rFonts w:ascii="Aptos" w:hAnsi="Aptos"/>
          <w:b w:val="0"/>
          <w:i w:val="0"/>
          <w:color w:val="2F6B95"/>
          <w:sz w:val="21"/>
        </w:rPr>
        <w:t xml:space="preserve">• </w:t>
      </w:r>
      <w:r>
        <w:rPr>
          <w:rFonts w:ascii="Aptos" w:hAnsi="Aptos"/>
          <w:b w:val="0"/>
          <w:i w:val="0"/>
        </w:rPr>
        <w:t>Trailing twelve-month dollar-based net retention rose to 109%.</w:t>
      </w:r>
    </w:p>
    <w:p>
      <w:pPr>
        <w:spacing w:after="40" w:before="0"/>
        <w:ind w:left="648" w:hanging="202"/>
      </w:pPr>
      <w:r>
        <w:rPr>
          <w:rFonts w:ascii="Aptos" w:hAnsi="Aptos"/>
          <w:b w:val="0"/>
          <w:i w:val="0"/>
          <w:color w:val="2F6B95"/>
          <w:sz w:val="21"/>
        </w:rPr>
        <w:t xml:space="preserve">• </w:t>
      </w:r>
      <w:r>
        <w:rPr>
          <w:rFonts w:ascii="Aptos" w:hAnsi="Aptos"/>
          <w:b w:val="0"/>
          <w:i w:val="0"/>
        </w:rPr>
        <w:t>Total customers increased to 2,609, with 333 customers above $500k ARR.</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Braze is a high-quality software business operating in a category that benefits from AI-enabled automation and higher-value customer engagement. The customer quality and retention metrics still look healthy.</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For a $50bn scenario, Braze would need to become a standard operating layer for real-time customer engagement across enterprise brands, while converting present growth into durable margin expansion.</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The software category is competitive, stock-based compensation is still meaningful, and the market wants clearer proof that GAAP profitability can scale.</w:t>
      </w:r>
    </w:p>
    <w:tbl>
      <w:tblPr>
        <w:tblW w:type="auto" w:w="0"/>
        <w:jc w:val="center"/>
        <w:tblLayout w:type="fixed"/>
        <w:tblLook w:firstColumn="1" w:firstRow="1" w:lastColumn="0" w:lastRow="0" w:noHBand="0" w:noVBand="1" w:val="04A0"/>
      </w:tblPr>
      <w:tblGrid>
        <w:gridCol w:w="9936"/>
      </w:tblGrid>
      <w:tr>
        <w:tc>
          <w:tcPr>
            <w:tcW w:type="dxa" w:w="9648"/>
            <w:shd w:fill="F5F7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6. Freshworks (FRSH)</w:t>
            </w:r>
          </w:p>
          <w:p>
            <w:pPr>
              <w:spacing w:after="0"/>
            </w:pPr>
            <w:r>
              <w:rPr>
                <w:color w:val="666666"/>
                <w:sz w:val="19"/>
              </w:rPr>
              <w:t>Approx. market cap: c.$2.3bn   |   Theme: Service software / AI ITSM</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$838.8m, up 16% year on year.</w:t>
      </w:r>
    </w:p>
    <w:p>
      <w:pPr>
        <w:spacing w:after="40" w:before="0"/>
        <w:ind w:left="648" w:hanging="202"/>
      </w:pPr>
      <w:r>
        <w:rPr>
          <w:rFonts w:ascii="Aptos" w:hAnsi="Aptos"/>
          <w:b w:val="0"/>
          <w:i w:val="0"/>
          <w:color w:val="2F6B95"/>
          <w:sz w:val="21"/>
        </w:rPr>
        <w:t xml:space="preserve">• </w:t>
      </w:r>
      <w:r>
        <w:rPr>
          <w:rFonts w:ascii="Aptos" w:hAnsi="Aptos"/>
          <w:b w:val="0"/>
          <w:i w:val="0"/>
        </w:rPr>
        <w:t>2025 GAAP operating income of $13.2m versus a 2024 operating loss, with operating cash flow of $242.4m.</w:t>
      </w:r>
    </w:p>
    <w:p>
      <w:pPr>
        <w:spacing w:after="40" w:before="0"/>
        <w:ind w:left="648" w:hanging="202"/>
      </w:pPr>
      <w:r>
        <w:rPr>
          <w:rFonts w:ascii="Aptos" w:hAnsi="Aptos"/>
          <w:b w:val="0"/>
          <w:i w:val="0"/>
          <w:color w:val="2F6B95"/>
          <w:sz w:val="21"/>
        </w:rPr>
        <w:t xml:space="preserve">• </w:t>
      </w:r>
      <w:r>
        <w:rPr>
          <w:rFonts w:ascii="Aptos" w:hAnsi="Aptos"/>
          <w:b w:val="0"/>
          <w:i w:val="0"/>
        </w:rPr>
        <w:t>2026 revenue guidance of $952m-$960m.</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Freshworks is no longer purely a 'cheap SaaS' story. It is showing a real profitability inflection, improving retention, and traction in AI-enabled service management and customer support software.</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The bull case is that Freshworks becomes the default simpler, lower-friction service platform for mid-market and upper mid-market customers, using AI to widen product depth without bloating complexity.</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Growth is slower than the strongest names on this list, so the $50bn path would require multiple years of steady execution and a more dramatic market re-rating.</w:t>
      </w:r>
    </w:p>
    <w:tbl>
      <w:tblPr>
        <w:tblW w:type="auto" w:w="0"/>
        <w:jc w:val="center"/>
        <w:tblLayout w:type="fixed"/>
        <w:tblLook w:firstColumn="1" w:firstRow="1" w:lastColumn="0" w:lastRow="0" w:noHBand="0" w:noVBand="1" w:val="04A0"/>
      </w:tblPr>
      <w:tblGrid>
        <w:gridCol w:w="9936"/>
      </w:tblGrid>
      <w:tr>
        <w:tc>
          <w:tcPr>
            <w:tcW w:type="dxa" w:w="9648"/>
            <w:shd w:fill="EAF3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7. GeneDx (WGS)</w:t>
            </w:r>
          </w:p>
          <w:p>
            <w:pPr>
              <w:spacing w:after="0"/>
            </w:pPr>
            <w:r>
              <w:rPr>
                <w:color w:val="666666"/>
                <w:sz w:val="19"/>
              </w:rPr>
              <w:t>Approx. market cap: c.$1.9bn   |   Theme: Genomics / diagnostics</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$427.5m, up 41% year on year.</w:t>
      </w:r>
    </w:p>
    <w:p>
      <w:pPr>
        <w:spacing w:after="40" w:before="0"/>
        <w:ind w:left="648" w:hanging="202"/>
      </w:pPr>
      <w:r>
        <w:rPr>
          <w:rFonts w:ascii="Aptos" w:hAnsi="Aptos"/>
          <w:b w:val="0"/>
          <w:i w:val="0"/>
          <w:color w:val="2F6B95"/>
          <w:sz w:val="21"/>
        </w:rPr>
        <w:t xml:space="preserve">• </w:t>
      </w:r>
      <w:r>
        <w:rPr>
          <w:rFonts w:ascii="Aptos" w:hAnsi="Aptos"/>
          <w:b w:val="0"/>
          <w:i w:val="0"/>
        </w:rPr>
        <w:t>2025 exome and genome revenue rose 54%; adjusted gross margin was 71%.</w:t>
      </w:r>
    </w:p>
    <w:p>
      <w:pPr>
        <w:spacing w:after="40" w:before="0"/>
        <w:ind w:left="648" w:hanging="202"/>
      </w:pPr>
      <w:r>
        <w:rPr>
          <w:rFonts w:ascii="Aptos" w:hAnsi="Aptos"/>
          <w:b w:val="0"/>
          <w:i w:val="0"/>
          <w:color w:val="2F6B95"/>
          <w:sz w:val="21"/>
        </w:rPr>
        <w:t xml:space="preserve">• </w:t>
      </w:r>
      <w:r>
        <w:rPr>
          <w:rFonts w:ascii="Aptos" w:hAnsi="Aptos"/>
          <w:b w:val="0"/>
          <w:i w:val="0"/>
        </w:rPr>
        <w:t>2026 guidance calls for $540m-$555m revenue and positive adjusted net income.</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GeneDx has the kind of profile that can re-rate aggressively if the market starts to value its data asset and diagnostic leadership together. Rare-disease genomics is a large underpenetrated market and scale compounds the interpretation moat.</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A path toward $50bn would require GeneDx to dominate high-value rare-disease testing, broaden into adjacent genomic workflows, and prove that its accumulated data advantage improves outcomes and economics at scale.</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Reimbursement, clinical adoption, and execution in new market expansions are all critical. Diagnostics businesses can also be de-rated quickly if growth slows.</w:t>
      </w:r>
    </w:p>
    <w:tbl>
      <w:tblPr>
        <w:tblW w:type="auto" w:w="0"/>
        <w:jc w:val="center"/>
        <w:tblLayout w:type="fixed"/>
        <w:tblLook w:firstColumn="1" w:firstRow="1" w:lastColumn="0" w:lastRow="0" w:noHBand="0" w:noVBand="1" w:val="04A0"/>
      </w:tblPr>
      <w:tblGrid>
        <w:gridCol w:w="9936"/>
      </w:tblGrid>
      <w:tr>
        <w:tc>
          <w:tcPr>
            <w:tcW w:type="dxa" w:w="9648"/>
            <w:shd w:fill="F5F7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8. Innodata (INOD)</w:t>
            </w:r>
          </w:p>
          <w:p>
            <w:pPr>
              <w:spacing w:after="0"/>
            </w:pPr>
            <w:r>
              <w:rPr>
                <w:color w:val="666666"/>
                <w:sz w:val="19"/>
              </w:rPr>
              <w:t>Approx. market cap: c.$1.3bn   |   Theme: AI data infrastructure</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$251.7m, up 48% year on year.</w:t>
      </w:r>
    </w:p>
    <w:p>
      <w:pPr>
        <w:spacing w:after="40" w:before="0"/>
        <w:ind w:left="648" w:hanging="202"/>
      </w:pPr>
      <w:r>
        <w:rPr>
          <w:rFonts w:ascii="Aptos" w:hAnsi="Aptos"/>
          <w:b w:val="0"/>
          <w:i w:val="0"/>
          <w:color w:val="2F6B95"/>
          <w:sz w:val="21"/>
        </w:rPr>
        <w:t xml:space="preserve">• </w:t>
      </w:r>
      <w:r>
        <w:rPr>
          <w:rFonts w:ascii="Aptos" w:hAnsi="Aptos"/>
          <w:b w:val="0"/>
          <w:i w:val="0"/>
        </w:rPr>
        <w:t>2026 outlook points to roughly 35%+ revenue growth.</w:t>
      </w:r>
    </w:p>
    <w:p>
      <w:pPr>
        <w:spacing w:after="40" w:before="0"/>
        <w:ind w:left="648" w:hanging="202"/>
      </w:pPr>
      <w:r>
        <w:rPr>
          <w:rFonts w:ascii="Aptos" w:hAnsi="Aptos"/>
          <w:b w:val="0"/>
          <w:i w:val="0"/>
          <w:color w:val="2F6B95"/>
          <w:sz w:val="21"/>
        </w:rPr>
        <w:t xml:space="preserve">• </w:t>
      </w:r>
      <w:r>
        <w:rPr>
          <w:rFonts w:ascii="Aptos" w:hAnsi="Aptos"/>
          <w:b w:val="0"/>
          <w:i w:val="0"/>
        </w:rPr>
        <w:t>Management highlighted accelerating demand in frontier model training, agentic AI and physical AI.</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Innodata is one of the more interesting AI infrastructure names below large-cap territory because it is already monetising demand from model builders, rather than simply promising future relevance.</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The upside case depends on the company evolving from dataset vendor into strategic workflow partner for data creation, evaluations and lifecycle tooling across AI models, agents and robotics.</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Customer concentration, high expectations around AI capex, and the possibility that platform owners internalise more of this work over time.</w:t>
      </w:r>
    </w:p>
    <w:tbl>
      <w:tblPr>
        <w:tblW w:type="auto" w:w="0"/>
        <w:jc w:val="center"/>
        <w:tblLayout w:type="fixed"/>
        <w:tblLook w:firstColumn="1" w:firstRow="1" w:lastColumn="0" w:lastRow="0" w:noHBand="0" w:noVBand="1" w:val="04A0"/>
      </w:tblPr>
      <w:tblGrid>
        <w:gridCol w:w="9936"/>
      </w:tblGrid>
      <w:tr>
        <w:tc>
          <w:tcPr>
            <w:tcW w:type="dxa" w:w="9648"/>
            <w:shd w:fill="EAF3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9. Sezzle (SEZL)</w:t>
            </w:r>
          </w:p>
          <w:p>
            <w:pPr>
              <w:spacing w:after="0"/>
            </w:pPr>
            <w:r>
              <w:rPr>
                <w:color w:val="666666"/>
                <w:sz w:val="19"/>
              </w:rPr>
              <w:t>Approx. market cap: c.$2.3bn   |   Theme: Fintech / BNPL</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$450.3m, up 66.1% year on year, with net income of $133.1m.</w:t>
      </w:r>
    </w:p>
    <w:p>
      <w:pPr>
        <w:spacing w:after="40" w:before="0"/>
        <w:ind w:left="648" w:hanging="202"/>
      </w:pPr>
      <w:r>
        <w:rPr>
          <w:rFonts w:ascii="Aptos" w:hAnsi="Aptos"/>
          <w:b w:val="0"/>
          <w:i w:val="0"/>
          <w:color w:val="2F6B95"/>
          <w:sz w:val="21"/>
        </w:rPr>
        <w:t xml:space="preserve">• </w:t>
      </w:r>
      <w:r>
        <w:rPr>
          <w:rFonts w:ascii="Aptos" w:hAnsi="Aptos"/>
          <w:b w:val="0"/>
          <w:i w:val="0"/>
        </w:rPr>
        <w:t>Investor relations data show last-twelve-month GMV of $3.9bn, 3.0m active consumers and roughly 918,000 monthly on-demand and subscriber users.</w:t>
      </w:r>
    </w:p>
    <w:p>
      <w:pPr>
        <w:spacing w:after="40" w:before="0"/>
        <w:ind w:left="648" w:hanging="202"/>
      </w:pPr>
      <w:r>
        <w:rPr>
          <w:rFonts w:ascii="Aptos" w:hAnsi="Aptos"/>
          <w:b w:val="0"/>
          <w:i w:val="0"/>
          <w:color w:val="2F6B95"/>
          <w:sz w:val="21"/>
        </w:rPr>
        <w:t xml:space="preserve">• </w:t>
      </w:r>
      <w:r>
        <w:rPr>
          <w:rFonts w:ascii="Aptos" w:hAnsi="Aptos"/>
          <w:b w:val="0"/>
          <w:i w:val="0"/>
        </w:rPr>
        <w:t>2026 guidance called for 25%-30% revenue growth.</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Sezzle is a momentum-rich fintech with real operating improvement behind it. The reason it makes this list is not simply BNPL growth; it is the combination of engagement, subscriptions and better profitability.</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The $50bn case is hard but not impossible if Sezzle becomes a much broader payments and financial-services platform for younger consumers rather than remaining a niche BNPL product.</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Very competitive market, consumer-credit cyclicality, regulation, and the fact that sentiment can turn sharply in fintech after strong share-price moves.</w:t>
      </w:r>
    </w:p>
    <w:tbl>
      <w:tblPr>
        <w:tblW w:type="auto" w:w="0"/>
        <w:jc w:val="center"/>
        <w:tblLayout w:type="fixed"/>
        <w:tblLook w:firstColumn="1" w:firstRow="1" w:lastColumn="0" w:lastRow="0" w:noHBand="0" w:noVBand="1" w:val="04A0"/>
      </w:tblPr>
      <w:tblGrid>
        <w:gridCol w:w="9936"/>
      </w:tblGrid>
      <w:tr>
        <w:tc>
          <w:tcPr>
            <w:tcW w:type="dxa" w:w="9648"/>
            <w:shd w:fill="F5F7F8"/>
            <w:tcBorders>
              <w:top w:val="single" w:sz="8" w:space="0" w:color="B8C7D1"/>
              <w:left w:val="single" w:sz="8" w:space="0" w:color="B8C7D1"/>
              <w:bottom w:val="single" w:sz="8" w:space="0" w:color="B8C7D1"/>
              <w:right w:val="single" w:sz="8" w:space="0" w:color="B8C7D1"/>
            </w:tcBorders>
            <w:tcMar>
              <w:top w:w="110" w:type="dxa"/>
              <w:start w:w="120" w:type="dxa"/>
              <w:bottom w:w="110" w:type="dxa"/>
              <w:end w:w="120" w:type="dxa"/>
            </w:tcMar>
          </w:tcPr>
          <w:p>
            <w:pPr>
              <w:spacing w:after="40"/>
            </w:pPr>
            <w:r>
              <w:rPr>
                <w:b/>
                <w:color w:val="17324D"/>
                <w:sz w:val="25"/>
              </w:rPr>
              <w:t>10. Oscar Health (OSCR)</w:t>
            </w:r>
          </w:p>
          <w:p>
            <w:pPr>
              <w:spacing w:after="0"/>
            </w:pPr>
            <w:r>
              <w:rPr>
                <w:color w:val="666666"/>
                <w:sz w:val="19"/>
              </w:rPr>
              <w:t>Approx. market cap: c.$3.6bn   |   Theme: Digital health insurance</w:t>
            </w:r>
          </w:p>
        </w:tc>
      </w:tr>
    </w:tbl>
    <w:p>
      <w:pPr>
        <w:spacing w:after="40" w:before="0"/>
        <w:ind w:left="288" w:hanging="202"/>
      </w:pPr>
      <w:r>
        <w:rPr>
          <w:rFonts w:ascii="Aptos" w:hAnsi="Aptos"/>
          <w:b w:val="0"/>
          <w:i w:val="0"/>
          <w:color w:val="17324D"/>
          <w:sz w:val="21"/>
        </w:rPr>
        <w:t xml:space="preserve">• </w:t>
      </w:r>
      <w:r>
        <w:rPr>
          <w:rFonts w:ascii="Aptos" w:hAnsi="Aptos"/>
          <w:b w:val="0"/>
          <w:i w:val="0"/>
        </w:rPr>
        <w:t>What is working now</w:t>
      </w:r>
    </w:p>
    <w:p>
      <w:pPr>
        <w:spacing w:after="40" w:before="0"/>
        <w:ind w:left="648" w:hanging="202"/>
      </w:pPr>
      <w:r>
        <w:rPr>
          <w:rFonts w:ascii="Aptos" w:hAnsi="Aptos"/>
          <w:b w:val="0"/>
          <w:i w:val="0"/>
          <w:color w:val="2F6B95"/>
          <w:sz w:val="21"/>
        </w:rPr>
        <w:t xml:space="preserve">• </w:t>
      </w:r>
      <w:r>
        <w:rPr>
          <w:rFonts w:ascii="Aptos" w:hAnsi="Aptos"/>
          <w:b w:val="0"/>
          <w:i w:val="0"/>
        </w:rPr>
        <w:t>2025 revenue of approximately $11.7bn, up from $9.2bn in 2024.</w:t>
      </w:r>
    </w:p>
    <w:p>
      <w:pPr>
        <w:spacing w:after="40" w:before="0"/>
        <w:ind w:left="648" w:hanging="202"/>
      </w:pPr>
      <w:r>
        <w:rPr>
          <w:rFonts w:ascii="Aptos" w:hAnsi="Aptos"/>
          <w:b w:val="0"/>
          <w:i w:val="0"/>
          <w:color w:val="2F6B95"/>
          <w:sz w:val="21"/>
        </w:rPr>
        <w:t xml:space="preserve">• </w:t>
      </w:r>
      <w:r>
        <w:rPr>
          <w:rFonts w:ascii="Aptos" w:hAnsi="Aptos"/>
          <w:b w:val="0"/>
          <w:i w:val="0"/>
        </w:rPr>
        <w:t>2025 medical loss ratio was 87.4%; the company posted a $443.2m net loss for the year.</w:t>
      </w:r>
    </w:p>
    <w:p>
      <w:pPr>
        <w:spacing w:after="40" w:before="0"/>
        <w:ind w:left="648" w:hanging="202"/>
      </w:pPr>
      <w:r>
        <w:rPr>
          <w:rFonts w:ascii="Aptos" w:hAnsi="Aptos"/>
          <w:b w:val="0"/>
          <w:i w:val="0"/>
          <w:color w:val="2F6B95"/>
          <w:sz w:val="21"/>
        </w:rPr>
        <w:t xml:space="preserve">• </w:t>
      </w:r>
      <w:r>
        <w:rPr>
          <w:rFonts w:ascii="Aptos" w:hAnsi="Aptos"/>
          <w:b w:val="0"/>
          <w:i w:val="0"/>
        </w:rPr>
        <w:t>Management also entered into a $475m secured revolving credit facility in February 2026.</w:t>
      </w:r>
    </w:p>
    <w:p>
      <w:pPr>
        <w:spacing w:after="40" w:before="0"/>
        <w:ind w:left="288" w:hanging="202"/>
      </w:pPr>
      <w:r>
        <w:rPr>
          <w:rFonts w:ascii="Aptos" w:hAnsi="Aptos"/>
          <w:b w:val="0"/>
          <w:i w:val="0"/>
          <w:color w:val="17324D"/>
          <w:sz w:val="21"/>
        </w:rPr>
        <w:t xml:space="preserve">• </w:t>
      </w:r>
      <w:r>
        <w:rPr>
          <w:rFonts w:ascii="Aptos" w:hAnsi="Aptos"/>
          <w:b w:val="0"/>
          <w:i w:val="0"/>
        </w:rPr>
        <w:t>Why this could become much bigger</w:t>
      </w:r>
    </w:p>
    <w:p>
      <w:pPr>
        <w:spacing w:after="80"/>
        <w:ind w:left="648"/>
      </w:pPr>
      <w:r>
        <w:rPr>
          <w:rFonts w:ascii="Aptos" w:hAnsi="Aptos"/>
          <w:b w:val="0"/>
          <w:i w:val="0"/>
        </w:rPr>
        <w:t>Oscar is the most unconventional name on the list because the revenue base is already large, yet the equity value remains mid-cap. That mismatch can create upside if underwriting, pricing and cost control improve.</w:t>
      </w:r>
    </w:p>
    <w:p>
      <w:pPr>
        <w:spacing w:after="40" w:before="0"/>
        <w:ind w:left="288" w:hanging="202"/>
      </w:pPr>
      <w:r>
        <w:rPr>
          <w:rFonts w:ascii="Aptos" w:hAnsi="Aptos"/>
          <w:b w:val="0"/>
          <w:i w:val="0"/>
          <w:color w:val="17324D"/>
          <w:sz w:val="21"/>
        </w:rPr>
        <w:t xml:space="preserve">• </w:t>
      </w:r>
      <w:r>
        <w:rPr>
          <w:rFonts w:ascii="Aptos" w:hAnsi="Aptos"/>
          <w:b w:val="0"/>
          <w:i w:val="0"/>
        </w:rPr>
        <w:t>What the path to c.$50bn would require</w:t>
      </w:r>
    </w:p>
    <w:p>
      <w:pPr>
        <w:spacing w:after="80"/>
        <w:ind w:left="648"/>
      </w:pPr>
      <w:r>
        <w:rPr>
          <w:rFonts w:ascii="Aptos" w:hAnsi="Aptos"/>
          <w:b w:val="0"/>
          <w:i w:val="0"/>
        </w:rPr>
        <w:t>A $50bn outcome would require Oscar to prove it can scale membership and revenue while producing durable underwriting discipline and a structurally lower administrative cost base.</w:t>
      </w:r>
    </w:p>
    <w:p>
      <w:pPr>
        <w:spacing w:after="40" w:before="0"/>
        <w:ind w:left="288" w:hanging="202"/>
      </w:pPr>
      <w:r>
        <w:rPr>
          <w:rFonts w:ascii="Aptos" w:hAnsi="Aptos"/>
          <w:b w:val="0"/>
          <w:i w:val="0"/>
          <w:color w:val="17324D"/>
          <w:sz w:val="21"/>
        </w:rPr>
        <w:t xml:space="preserve">• </w:t>
      </w:r>
      <w:r>
        <w:rPr>
          <w:rFonts w:ascii="Aptos" w:hAnsi="Aptos"/>
          <w:b w:val="0"/>
          <w:i w:val="0"/>
        </w:rPr>
        <w:t>What could go wrong</w:t>
      </w:r>
    </w:p>
    <w:p>
      <w:pPr>
        <w:spacing w:after="120"/>
        <w:ind w:left="648"/>
      </w:pPr>
      <w:r>
        <w:rPr>
          <w:rFonts w:ascii="Aptos" w:hAnsi="Aptos"/>
          <w:b w:val="0"/>
          <w:i w:val="0"/>
        </w:rPr>
        <w:t>Insurance economics are volatile, regulation matters, and the business is far more complex than the software and platform names above.</w:t>
      </w:r>
    </w:p>
    <w:p>
      <w:pPr>
        <w:spacing w:before="160" w:after="60"/>
      </w:pPr>
      <w:r>
        <w:rPr>
          <w:rFonts w:ascii="Aptos" w:hAnsi="Aptos"/>
          <w:b/>
          <w:color w:val="17324D"/>
          <w:sz w:val="30"/>
        </w:rPr>
        <w:t>Cross-cutting risks</w:t>
      </w:r>
    </w:p>
    <w:p>
      <w:pPr>
        <w:spacing w:after="40" w:before="0"/>
        <w:ind w:left="288" w:hanging="202"/>
      </w:pPr>
      <w:r>
        <w:rPr>
          <w:rFonts w:ascii="Aptos" w:hAnsi="Aptos"/>
          <w:b w:val="0"/>
          <w:i w:val="0"/>
          <w:color w:val="2F6B95"/>
          <w:sz w:val="21"/>
        </w:rPr>
        <w:t xml:space="preserve">• </w:t>
      </w:r>
      <w:r>
        <w:rPr>
          <w:rFonts w:ascii="Aptos" w:hAnsi="Aptos"/>
          <w:b w:val="0"/>
          <w:i w:val="0"/>
        </w:rPr>
        <w:t>Multiple compression: even good companies can underperform if the market rotates away from growth and long-duration equities.</w:t>
      </w:r>
    </w:p>
    <w:p>
      <w:pPr>
        <w:spacing w:after="40" w:before="0"/>
        <w:ind w:left="288" w:hanging="202"/>
      </w:pPr>
      <w:r>
        <w:rPr>
          <w:rFonts w:ascii="Aptos" w:hAnsi="Aptos"/>
          <w:b w:val="0"/>
          <w:i w:val="0"/>
          <w:color w:val="2F6B95"/>
          <w:sz w:val="21"/>
        </w:rPr>
        <w:t xml:space="preserve">• </w:t>
      </w:r>
      <w:r>
        <w:rPr>
          <w:rFonts w:ascii="Aptos" w:hAnsi="Aptos"/>
          <w:b w:val="0"/>
          <w:i w:val="0"/>
        </w:rPr>
        <w:t>Execution risk: several names here need to prove they can sustain growth while also widening margins.</w:t>
      </w:r>
    </w:p>
    <w:p>
      <w:pPr>
        <w:spacing w:after="40" w:before="0"/>
        <w:ind w:left="288" w:hanging="202"/>
      </w:pPr>
      <w:r>
        <w:rPr>
          <w:rFonts w:ascii="Aptos" w:hAnsi="Aptos"/>
          <w:b w:val="0"/>
          <w:i w:val="0"/>
          <w:color w:val="2F6B95"/>
          <w:sz w:val="21"/>
        </w:rPr>
        <w:t xml:space="preserve">• </w:t>
      </w:r>
      <w:r>
        <w:rPr>
          <w:rFonts w:ascii="Aptos" w:hAnsi="Aptos"/>
          <w:b w:val="0"/>
          <w:i w:val="0"/>
        </w:rPr>
        <w:t>Category risk: AI software, genomics and BNPL all have sectors where expectations can outrun reality.</w:t>
      </w:r>
    </w:p>
    <w:p>
      <w:pPr>
        <w:spacing w:after="40" w:before="0"/>
        <w:ind w:left="288" w:hanging="202"/>
      </w:pPr>
      <w:r>
        <w:rPr>
          <w:rFonts w:ascii="Aptos" w:hAnsi="Aptos"/>
          <w:b w:val="0"/>
          <w:i w:val="0"/>
          <w:color w:val="2F6B95"/>
          <w:sz w:val="21"/>
        </w:rPr>
        <w:t xml:space="preserve">• </w:t>
      </w:r>
      <w:r>
        <w:rPr>
          <w:rFonts w:ascii="Aptos" w:hAnsi="Aptos"/>
          <w:b w:val="0"/>
          <w:i w:val="0"/>
        </w:rPr>
        <w:t>Concentration risk: a basket like this should be position-sized carefully; a few names may become major winners, but some will almost certainly fail to compound cleanly.</w:t>
      </w:r>
    </w:p>
    <w:p>
      <w:pPr>
        <w:spacing w:before="160" w:after="60"/>
      </w:pPr>
      <w:r>
        <w:rPr>
          <w:rFonts w:ascii="Aptos" w:hAnsi="Aptos"/>
          <w:b/>
          <w:color w:val="17324D"/>
          <w:sz w:val="30"/>
        </w:rPr>
        <w:t>Bottom line</w:t>
      </w:r>
    </w:p>
    <w:p>
      <w:pPr>
        <w:spacing w:after="120"/>
      </w:pPr>
      <w:r>
        <w:rPr>
          <w:rFonts w:ascii="Aptos" w:hAnsi="Aptos"/>
          <w:b w:val="0"/>
          <w:i w:val="0"/>
        </w:rPr>
        <w:t xml:space="preserve">If the goal is a practical shortlist rather than maximum excitement, start with </w:t>
      </w:r>
      <w:r>
        <w:rPr>
          <w:rFonts w:ascii="Aptos" w:hAnsi="Aptos"/>
          <w:b/>
          <w:i w:val="0"/>
          <w:color w:val="17324D"/>
        </w:rPr>
        <w:t>HIMS, TMDX, ZETA, DOCS and BRZE</w:t>
      </w:r>
      <w:r>
        <w:rPr>
          <w:rFonts w:ascii="Aptos" w:hAnsi="Aptos"/>
          <w:b w:val="0"/>
          <w:i w:val="0"/>
        </w:rPr>
        <w:t>. Those offer the best combination of real operating traction and plausible long-term platform upside.</w:t>
      </w:r>
    </w:p>
    <w:p>
      <w:pPr>
        <w:spacing w:after="120"/>
      </w:pPr>
      <w:r>
        <w:rPr>
          <w:rFonts w:ascii="Aptos" w:hAnsi="Aptos"/>
          <w:b w:val="0"/>
          <w:i w:val="0"/>
        </w:rPr>
        <w:t xml:space="preserve">If the goal is more asymmetric optionality, then </w:t>
      </w:r>
      <w:r>
        <w:rPr>
          <w:rFonts w:ascii="Aptos" w:hAnsi="Aptos"/>
          <w:b/>
          <w:i w:val="0"/>
          <w:color w:val="17324D"/>
        </w:rPr>
        <w:t>WGS, INOD and SEZL</w:t>
      </w:r>
      <w:r>
        <w:rPr>
          <w:rFonts w:ascii="Aptos" w:hAnsi="Aptos"/>
          <w:b w:val="0"/>
          <w:i w:val="0"/>
        </w:rPr>
        <w:t xml:space="preserve"> are the more aggressive adds, with </w:t>
      </w:r>
      <w:r>
        <w:rPr>
          <w:rFonts w:ascii="Aptos" w:hAnsi="Aptos"/>
          <w:b/>
          <w:i w:val="0"/>
          <w:color w:val="17324D"/>
        </w:rPr>
        <w:t>OSCR</w:t>
      </w:r>
      <w:r>
        <w:rPr>
          <w:rFonts w:ascii="Aptos" w:hAnsi="Aptos"/>
          <w:b w:val="0"/>
          <w:i w:val="0"/>
        </w:rPr>
        <w:t xml:space="preserve"> as the highest-complexity outlier.</w:t>
      </w:r>
    </w:p>
    <w:p>
      <w:r>
        <w:br w:type="page"/>
      </w:r>
    </w:p>
    <w:p>
      <w:pPr>
        <w:spacing w:before="160" w:after="60"/>
      </w:pPr>
      <w:r>
        <w:rPr>
          <w:rFonts w:ascii="Aptos" w:hAnsi="Aptos"/>
          <w:b/>
          <w:color w:val="17324D"/>
          <w:sz w:val="30"/>
        </w:rPr>
        <w:t>Source notes</w:t>
      </w:r>
    </w:p>
    <w:p>
      <w:pPr>
        <w:spacing w:after="120"/>
      </w:pPr>
      <w:r>
        <w:rPr>
          <w:rFonts w:ascii="Aptos" w:hAnsi="Aptos"/>
          <w:b w:val="0"/>
          <w:i w:val="0"/>
        </w:rPr>
        <w:t>Operating figures were taken from company investor-relations releases. Market-cap references were taken from public quote / market-cap pages dated 2-7 April 2026. Approximate figures are used throughout to keep the memo readable.</w:t>
      </w:r>
    </w:p>
    <w:tbl>
      <w:tblPr>
        <w:tblW w:type="auto" w:w="0"/>
        <w:jc w:val="center"/>
        <w:tblLayout w:type="fixed"/>
        <w:tblLook w:firstColumn="1" w:firstRow="1" w:lastColumn="0" w:lastRow="0" w:noHBand="0" w:noVBand="1" w:val="04A0"/>
      </w:tblPr>
      <w:tblGrid>
        <w:gridCol w:w="4968"/>
        <w:gridCol w:w="4968"/>
      </w:tblGrid>
      <w:tr>
        <w:tc>
          <w:tcPr>
            <w:tcW w:type="dxa" w:w="4968"/>
            <w:shd w:fill="17324D"/>
            <w:tcMar>
              <w:top w:w="90" w:type="dxa"/>
              <w:start w:w="90" w:type="dxa"/>
              <w:bottom w:w="90" w:type="dxa"/>
              <w:end w:w="90" w:type="dxa"/>
            </w:tcMar>
            <w:tcBorders>
              <w:top w:val="single" w:sz="6" w:space="0" w:color="B8C7D1"/>
              <w:left w:val="single" w:sz="6" w:space="0" w:color="B8C7D1"/>
              <w:bottom w:val="single" w:sz="6" w:space="0" w:color="B8C7D1"/>
              <w:right w:val="single" w:sz="6" w:space="0" w:color="B8C7D1"/>
            </w:tcBorders>
          </w:tcPr>
          <w:p>
            <w:pPr>
              <w:jc w:val="center"/>
            </w:pPr>
            <w:r>
              <w:rPr>
                <w:b/>
                <w:color w:val="FFFFFF"/>
                <w:sz w:val="19"/>
              </w:rPr>
              <w:t>Ticker</w:t>
            </w:r>
          </w:p>
        </w:tc>
        <w:tc>
          <w:tcPr>
            <w:tcW w:type="dxa" w:w="4968"/>
            <w:shd w:fill="17324D"/>
            <w:tcMar>
              <w:top w:w="90" w:type="dxa"/>
              <w:start w:w="90" w:type="dxa"/>
              <w:bottom w:w="90" w:type="dxa"/>
              <w:end w:w="90" w:type="dxa"/>
            </w:tcMar>
            <w:tcBorders>
              <w:top w:val="single" w:sz="6" w:space="0" w:color="B8C7D1"/>
              <w:left w:val="single" w:sz="6" w:space="0" w:color="B8C7D1"/>
              <w:bottom w:val="single" w:sz="6" w:space="0" w:color="B8C7D1"/>
              <w:right w:val="single" w:sz="6" w:space="0" w:color="B8C7D1"/>
            </w:tcBorders>
          </w:tcPr>
          <w:p>
            <w:pPr>
              <w:jc w:val="center"/>
            </w:pPr>
            <w:r>
              <w:rPr>
                <w:b/>
                <w:color w:val="FFFFFF"/>
                <w:sz w:val="19"/>
              </w:rPr>
              <w:t>Source summary</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HIMS</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Hims &amp; Hers Health, Inc. Reports Fourth Quarter and Full Year 2025 Financial Results (23 Feb 2026); public market-cap references for HIMS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TMDX</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TransMedics Reports Fourth Quarter and Full Year 2025 Financial Results (24 Feb 2026); public market-cap references for TMDX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ZETA</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Zeta Global Reports 18th Straight Beat and Raise Quarter and Record Full Year 2025 Results (24 Feb 2026); public market-cap references for ZETA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DOCS</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Doximity Announces Fiscal 2026 Third Quarter Financial Results (5 Feb 2026); public market-cap references for DOCS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BRZE</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Braze Reports Fiscal Year and Fourth Quarter 2026 Results (24 Mar 2026); public market-cap references for BRZE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FRSH</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Freshworks Reports Fourth Quarter and Full Year 2025 Results (10 Feb 2026); public market-cap references for FRSH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WGS</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GeneDx Reports Fourth Quarter and Full Year 2025 Financial Results and Reaffirms Guidance for Full Year 2026 (23 Feb 2026); public market-cap references for WGS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INOD</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Innodata Reports Fourth Quarter and Full Year 2025 Results (26 Feb 2026); public market-cap references for INOD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SEZL</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Sezzle Q4/FY2025 investor materials and investor-relations key metrics pages; public market-cap references for SEZL from early April 2026.</w:t>
            </w:r>
          </w:p>
        </w:tc>
      </w:tr>
      <w:tr>
        <w:tc>
          <w:tcPr>
            <w:tcW w:type="dxa" w:w="1152"/>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jc w:val="center"/>
            </w:pPr>
            <w:r>
              <w:rPr>
                <w:sz w:val="18"/>
              </w:rPr>
              <w:t>OSCR</w:t>
            </w:r>
          </w:p>
        </w:tc>
        <w:tc>
          <w:tcPr>
            <w:tcW w:type="dxa" w:w="8496"/>
            <w:tcMar>
              <w:top w:w="70" w:type="dxa"/>
              <w:start w:w="85" w:type="dxa"/>
              <w:bottom w:w="70" w:type="dxa"/>
              <w:end w:w="85" w:type="dxa"/>
            </w:tcMar>
            <w:vAlign w:val="center"/>
            <w:tcBorders>
              <w:top w:val="single" w:sz="6" w:space="0" w:color="B8C7D1"/>
              <w:left w:val="single" w:sz="6" w:space="0" w:color="B8C7D1"/>
              <w:bottom w:val="single" w:sz="6" w:space="0" w:color="B8C7D1"/>
              <w:right w:val="single" w:sz="6" w:space="0" w:color="B8C7D1"/>
            </w:tcBorders>
          </w:tcPr>
          <w:p>
            <w:pPr>
              <w:spacing w:after="0"/>
            </w:pPr>
            <w:r>
              <w:rPr>
                <w:sz w:val="18"/>
              </w:rPr>
              <w:t>Oscar Health Announces Financial Results for Fourth Quarter and Full-Year 2025 (10 Feb 2026); public market-cap references for OSCR from early April 2026.</w:t>
            </w:r>
          </w:p>
        </w:tc>
      </w:tr>
    </w:tbl>
    <w:sectPr w:rsidR="00FC693F" w:rsidRPr="0006063C" w:rsidSect="00034616">
      <w:pgSz w:w="12240" w:h="15840"/>
      <w:pgMar w:top="936"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