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Blue"/>
        <w:spacing w:before="0" w:after="40" w:line="240" w:lineRule="auto"/>
      </w:pPr>
      <w:r>
        <w:rPr>
          <w:rFonts w:ascii="Cambria" w:hAnsi="Cambria"/>
          <w:b/>
          <w:i w:val="0"/>
          <w:color w:val="2B5797"/>
          <w:sz w:val="52"/>
        </w:rPr>
        <w:t>Critical Minerals &amp; Rare Earth Sovereignty</w:t>
        <w:br/>
        <w:t>Watchlist</w:t>
      </w:r>
    </w:p>
    <w:p>
      <w:pPr>
        <w:pStyle w:val="SubtitleGrey"/>
        <w:spacing w:before="0" w:after="320" w:line="240" w:lineRule="auto"/>
      </w:pPr>
      <w:r>
        <w:rPr>
          <w:rFonts w:ascii="Cambria" w:hAnsi="Cambria"/>
          <w:b w:val="0"/>
          <w:i/>
          <w:color w:val="666666"/>
          <w:sz w:val="30"/>
        </w:rPr>
        <w:t>Ranked public-market ideas for further analysis</w:t>
      </w:r>
    </w:p>
    <w:tbl>
      <w:tblPr>
        <w:tblW w:type="auto" w:w="0"/>
        <w:jc w:val="left"/>
        <w:tblLayout w:type="fixed"/>
        <w:tblLook w:firstColumn="1" w:firstRow="1" w:lastColumn="0" w:lastRow="0" w:noHBand="0" w:noVBand="1" w:val="04A0"/>
      </w:tblPr>
      <w:tblGrid>
        <w:gridCol w:w="4997"/>
        <w:gridCol w:w="4997"/>
      </w:tblGrid>
      <w:tr>
        <w:tc>
          <w:tcPr>
            <w:tcW w:type="dxa" w:w="5328"/>
            <w:shd w:fill="D9EAF7"/>
            <w:tcMar>
              <w:top w:w="90" w:type="dxa"/>
              <w:start w:w="110" w:type="dxa"/>
              <w:bottom w:w="90" w:type="dxa"/>
              <w:end w:w="110" w:type="dxa"/>
            </w:tcMar>
            <w:tcBorders>
              <w:top w:val="single" w:sz="0" w:space="0" w:color="FFFFFF"/>
              <w:left w:val="single" w:sz="0" w:space="0" w:color="FFFFFF"/>
              <w:bottom w:val="single" w:sz="0" w:space="0" w:color="FFFFFF"/>
              <w:right w:val="single" w:sz="0" w:space="0" w:color="FFFFFF"/>
            </w:tcBorders>
            <w:vAlign w:val="center"/>
          </w:tcPr>
          <w:p>
            <w:pPr>
              <w:spacing w:before="0" w:after="0" w:line="269" w:lineRule="auto"/>
            </w:pPr>
            <w:r>
              <w:rPr>
                <w:rFonts w:ascii="Cambria" w:hAnsi="Cambria"/>
                <w:b/>
                <w:color w:val="2B5797"/>
                <w:sz w:val="25"/>
              </w:rPr>
              <w:t>Prepared for</w:t>
            </w:r>
          </w:p>
        </w:tc>
        <w:tc>
          <w:tcPr>
            <w:tcW w:type="dxa" w:w="5472"/>
            <w:tcMar>
              <w:top w:w="90" w:type="dxa"/>
              <w:start w:w="110" w:type="dxa"/>
              <w:bottom w:w="90" w:type="dxa"/>
              <w:end w:w="110" w:type="dxa"/>
            </w:tcMar>
            <w:tcBorders>
              <w:top w:val="single" w:sz="0" w:space="0" w:color="FFFFFF"/>
              <w:left w:val="single" w:sz="0" w:space="0" w:color="FFFFFF"/>
              <w:bottom w:val="single" w:sz="0" w:space="0" w:color="FFFFFF"/>
              <w:right w:val="single" w:sz="0" w:space="0" w:color="FFFFFF"/>
            </w:tcBorders>
            <w:vAlign w:val="center"/>
          </w:tcPr>
          <w:p>
            <w:pPr>
              <w:spacing w:before="0" w:after="0" w:line="269" w:lineRule="auto"/>
            </w:pPr>
            <w:r>
              <w:rPr>
                <w:rFonts w:ascii="Cambria" w:hAnsi="Cambria"/>
                <w:b w:val="0"/>
                <w:color w:val="000000"/>
                <w:sz w:val="25"/>
              </w:rPr>
              <w:t>James C.</w:t>
            </w:r>
          </w:p>
        </w:tc>
      </w:tr>
      <w:tr>
        <w:tc>
          <w:tcPr>
            <w:tcW w:type="dxa" w:w="5328"/>
            <w:shd w:fill="D9EAF7"/>
            <w:tcMar>
              <w:top w:w="90" w:type="dxa"/>
              <w:start w:w="110" w:type="dxa"/>
              <w:bottom w:w="90" w:type="dxa"/>
              <w:end w:w="110" w:type="dxa"/>
            </w:tcMar>
            <w:tcBorders>
              <w:top w:val="single" w:sz="0" w:space="0" w:color="FFFFFF"/>
              <w:left w:val="single" w:sz="0" w:space="0" w:color="FFFFFF"/>
              <w:bottom w:val="single" w:sz="0" w:space="0" w:color="FFFFFF"/>
              <w:right w:val="single" w:sz="0" w:space="0" w:color="FFFFFF"/>
            </w:tcBorders>
            <w:vAlign w:val="center"/>
          </w:tcPr>
          <w:p>
            <w:pPr>
              <w:spacing w:before="0" w:after="0" w:line="269" w:lineRule="auto"/>
            </w:pPr>
            <w:r>
              <w:rPr>
                <w:rFonts w:ascii="Cambria" w:hAnsi="Cambria"/>
                <w:b/>
                <w:color w:val="2B5797"/>
                <w:sz w:val="25"/>
              </w:rPr>
              <w:t>Date</w:t>
            </w:r>
          </w:p>
        </w:tc>
        <w:tc>
          <w:tcPr>
            <w:tcW w:type="dxa" w:w="5472"/>
            <w:tcMar>
              <w:top w:w="90" w:type="dxa"/>
              <w:start w:w="110" w:type="dxa"/>
              <w:bottom w:w="90" w:type="dxa"/>
              <w:end w:w="110" w:type="dxa"/>
            </w:tcMar>
            <w:tcBorders>
              <w:top w:val="single" w:sz="0" w:space="0" w:color="FFFFFF"/>
              <w:left w:val="single" w:sz="0" w:space="0" w:color="FFFFFF"/>
              <w:bottom w:val="single" w:sz="0" w:space="0" w:color="FFFFFF"/>
              <w:right w:val="single" w:sz="0" w:space="0" w:color="FFFFFF"/>
            </w:tcBorders>
            <w:vAlign w:val="center"/>
          </w:tcPr>
          <w:p>
            <w:pPr>
              <w:spacing w:before="0" w:after="0" w:line="269" w:lineRule="auto"/>
            </w:pPr>
            <w:r>
              <w:rPr>
                <w:rFonts w:ascii="Cambria" w:hAnsi="Cambria"/>
                <w:b w:val="0"/>
                <w:color w:val="000000"/>
                <w:sz w:val="25"/>
              </w:rPr>
              <w:t>14 April 2026</w:t>
            </w:r>
          </w:p>
        </w:tc>
      </w:tr>
      <w:tr>
        <w:tc>
          <w:tcPr>
            <w:tcW w:type="dxa" w:w="5328"/>
            <w:shd w:fill="D9EAF7"/>
            <w:tcMar>
              <w:top w:w="90" w:type="dxa"/>
              <w:start w:w="110" w:type="dxa"/>
              <w:bottom w:w="90" w:type="dxa"/>
              <w:end w:w="110" w:type="dxa"/>
            </w:tcMar>
            <w:tcBorders>
              <w:top w:val="single" w:sz="0" w:space="0" w:color="FFFFFF"/>
              <w:left w:val="single" w:sz="0" w:space="0" w:color="FFFFFF"/>
              <w:bottom w:val="single" w:sz="0" w:space="0" w:color="FFFFFF"/>
              <w:right w:val="single" w:sz="0" w:space="0" w:color="FFFFFF"/>
            </w:tcBorders>
            <w:vAlign w:val="center"/>
          </w:tcPr>
          <w:p>
            <w:pPr>
              <w:spacing w:before="0" w:after="0" w:line="269" w:lineRule="auto"/>
            </w:pPr>
            <w:r>
              <w:rPr>
                <w:rFonts w:ascii="Cambria" w:hAnsi="Cambria"/>
                <w:b/>
                <w:color w:val="2B5797"/>
                <w:sz w:val="25"/>
              </w:rPr>
              <w:t>Scope</w:t>
            </w:r>
          </w:p>
        </w:tc>
        <w:tc>
          <w:tcPr>
            <w:tcW w:type="dxa" w:w="5472"/>
            <w:tcMar>
              <w:top w:w="90" w:type="dxa"/>
              <w:start w:w="110" w:type="dxa"/>
              <w:bottom w:w="90" w:type="dxa"/>
              <w:end w:w="110" w:type="dxa"/>
            </w:tcMar>
            <w:tcBorders>
              <w:top w:val="single" w:sz="0" w:space="0" w:color="FFFFFF"/>
              <w:left w:val="single" w:sz="0" w:space="0" w:color="FFFFFF"/>
              <w:bottom w:val="single" w:sz="0" w:space="0" w:color="FFFFFF"/>
              <w:right w:val="single" w:sz="0" w:space="0" w:color="FFFFFF"/>
            </w:tcBorders>
            <w:vAlign w:val="center"/>
          </w:tcPr>
          <w:p>
            <w:pPr>
              <w:spacing w:before="0" w:after="0" w:line="259" w:lineRule="auto"/>
            </w:pPr>
            <w:r>
              <w:rPr>
                <w:rFonts w:ascii="Cambria" w:hAnsi="Cambria"/>
                <w:b w:val="0"/>
                <w:color w:val="000000"/>
                <w:sz w:val="25"/>
              </w:rPr>
              <w:t>Companies positioned to benefit from the U.S. push to reduce dependence on China across rare earths, antimony, graphite, magnet supply and aligned critical-mineral processing.</w:t>
            </w:r>
          </w:p>
        </w:tc>
      </w:tr>
    </w:tbl>
    <w:p/>
    <w:p>
      <w:pPr>
        <w:pStyle w:val="HeadingBlue"/>
        <w:spacing w:before="0" w:after="120" w:line="276" w:lineRule="auto"/>
      </w:pPr>
      <w:r>
        <w:rPr>
          <w:rFonts w:ascii="Cambria" w:hAnsi="Cambria"/>
          <w:b/>
          <w:i w:val="0"/>
          <w:color w:val="2B5797"/>
          <w:sz w:val="34"/>
        </w:rPr>
        <w:t>Executive view</w:t>
      </w:r>
    </w:p>
    <w:p>
      <w:pPr>
        <w:spacing w:before="0" w:after="60" w:line="283" w:lineRule="auto"/>
        <w:ind w:left="173" w:hanging="86"/>
      </w:pPr>
      <w:r>
        <w:rPr>
          <w:rFonts w:ascii="Cambria" w:hAnsi="Cambria"/>
          <w:b w:val="0"/>
          <w:i w:val="0"/>
          <w:color w:val="000000"/>
          <w:sz w:val="23"/>
        </w:rPr>
        <w:t xml:space="preserve">• </w:t>
      </w:r>
      <w:r>
        <w:rPr>
          <w:rFonts w:ascii="Cambria" w:hAnsi="Cambria"/>
          <w:b w:val="0"/>
          <w:i w:val="0"/>
          <w:color w:val="000000"/>
          <w:sz w:val="23"/>
        </w:rPr>
        <w:t>The U.S. strategic problem is no longer just raw ore access; the real chokepoints are separation, magnet production, graphite anode material, antimony refining and heavy rare earths.</w:t>
      </w:r>
    </w:p>
    <w:p>
      <w:pPr>
        <w:spacing w:before="0" w:after="60" w:line="283" w:lineRule="auto"/>
        <w:ind w:left="173" w:hanging="86"/>
      </w:pPr>
      <w:r>
        <w:rPr>
          <w:rFonts w:ascii="Cambria" w:hAnsi="Cambria"/>
          <w:b w:val="0"/>
          <w:i w:val="0"/>
          <w:color w:val="000000"/>
          <w:sz w:val="23"/>
        </w:rPr>
        <w:t xml:space="preserve">• </w:t>
      </w:r>
      <w:r>
        <w:rPr>
          <w:rFonts w:ascii="Cambria" w:hAnsi="Cambria"/>
          <w:b w:val="0"/>
          <w:i w:val="0"/>
          <w:color w:val="000000"/>
          <w:sz w:val="23"/>
        </w:rPr>
        <w:t>The strongest risk-adjusted names are not necessarily the purest stories. The best watchlist combines one or two strategic anchors with higher-torque developers that can rerate on finance, permitting, offtake or commissioning milestones.</w:t>
      </w:r>
    </w:p>
    <w:p>
      <w:pPr>
        <w:spacing w:before="0" w:after="60" w:line="283" w:lineRule="auto"/>
        <w:ind w:left="173" w:hanging="86"/>
      </w:pPr>
      <w:r>
        <w:rPr>
          <w:rFonts w:ascii="Cambria" w:hAnsi="Cambria"/>
          <w:b w:val="0"/>
          <w:i w:val="0"/>
          <w:color w:val="000000"/>
          <w:sz w:val="23"/>
        </w:rPr>
        <w:t xml:space="preserve">• </w:t>
      </w:r>
      <w:r>
        <w:rPr>
          <w:rFonts w:ascii="Cambria" w:hAnsi="Cambria"/>
          <w:b w:val="0"/>
          <w:i w:val="0"/>
          <w:color w:val="000000"/>
          <w:sz w:val="23"/>
        </w:rPr>
        <w:t>Entry zones below are tactical accumulation bands rather than precise fair-value marks. They are intended for staged buying and re-checking around financing, policy and execution news.</w:t>
      </w:r>
    </w:p>
    <w:p/>
    <w:p>
      <w:pPr>
        <w:pStyle w:val="HeadingBlue"/>
        <w:spacing w:before="0" w:after="160" w:line="276" w:lineRule="auto"/>
      </w:pPr>
      <w:r>
        <w:rPr>
          <w:rFonts w:ascii="Cambria" w:hAnsi="Cambria"/>
          <w:b/>
          <w:i w:val="0"/>
          <w:color w:val="2B5797"/>
          <w:sz w:val="34"/>
        </w:rPr>
        <w:t>Ranked summary</w:t>
      </w:r>
    </w:p>
    <w:tbl>
      <w:tblPr>
        <w:tblW w:type="auto" w:w="0"/>
        <w:jc w:val="left"/>
        <w:tblLayout w:type="fixed"/>
        <w:tblLook w:firstColumn="1" w:firstRow="1" w:lastColumn="0" w:lastRow="0" w:noHBand="0" w:noVBand="1" w:val="04A0"/>
      </w:tblPr>
      <w:tblGrid>
        <w:gridCol w:w="1428"/>
        <w:gridCol w:w="1428"/>
        <w:gridCol w:w="1428"/>
        <w:gridCol w:w="1428"/>
        <w:gridCol w:w="1428"/>
        <w:gridCol w:w="1428"/>
        <w:gridCol w:w="1428"/>
      </w:tblGrid>
      <w:tr>
        <w:tc>
          <w:tcPr>
            <w:tcW w:type="dxa" w:w="792"/>
            <w:shd w:fill="2B5797"/>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center"/>
            </w:pPr>
            <w:r>
              <w:rPr>
                <w:rFonts w:ascii="Cambria" w:hAnsi="Cambria"/>
                <w:b/>
                <w:color w:val="FFFFFF"/>
                <w:sz w:val="22"/>
              </w:rPr>
              <w:t>Rank</w:t>
            </w:r>
          </w:p>
        </w:tc>
        <w:tc>
          <w:tcPr>
            <w:tcW w:type="dxa" w:w="1008"/>
            <w:shd w:fill="2B5797"/>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color w:val="FFFFFF"/>
                <w:sz w:val="22"/>
              </w:rPr>
              <w:t>Ticker</w:t>
            </w:r>
          </w:p>
        </w:tc>
        <w:tc>
          <w:tcPr>
            <w:tcW w:type="dxa" w:w="1944"/>
            <w:shd w:fill="2B5797"/>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color w:val="FFFFFF"/>
                <w:sz w:val="22"/>
              </w:rPr>
              <w:t>Company</w:t>
            </w:r>
          </w:p>
        </w:tc>
        <w:tc>
          <w:tcPr>
            <w:tcW w:type="dxa" w:w="2808"/>
            <w:shd w:fill="2B5797"/>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color w:val="FFFFFF"/>
                <w:sz w:val="22"/>
              </w:rPr>
              <w:t>Strategic role</w:t>
            </w:r>
          </w:p>
        </w:tc>
        <w:tc>
          <w:tcPr>
            <w:tcW w:type="dxa" w:w="1267"/>
            <w:shd w:fill="2B5797"/>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center"/>
            </w:pPr>
            <w:r>
              <w:rPr>
                <w:rFonts w:ascii="Cambria" w:hAnsi="Cambria"/>
                <w:b/>
                <w:color w:val="FFFFFF"/>
                <w:sz w:val="22"/>
              </w:rPr>
              <w:t>Current</w:t>
              <w:br/>
              <w:t>price</w:t>
            </w:r>
          </w:p>
        </w:tc>
        <w:tc>
          <w:tcPr>
            <w:tcW w:type="dxa" w:w="2232"/>
            <w:shd w:fill="2B5797"/>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color w:val="FFFFFF"/>
                <w:sz w:val="22"/>
              </w:rPr>
              <w:t>Stance</w:t>
            </w:r>
          </w:p>
        </w:tc>
        <w:tc>
          <w:tcPr>
            <w:tcW w:type="dxa" w:w="1555"/>
            <w:shd w:fill="2B5797"/>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center"/>
            </w:pPr>
            <w:r>
              <w:rPr>
                <w:rFonts w:ascii="Cambria" w:hAnsi="Cambria"/>
                <w:b/>
                <w:color w:val="FFFFFF"/>
                <w:sz w:val="22"/>
              </w:rPr>
              <w:t>Entry zone</w:t>
            </w:r>
          </w:p>
        </w:tc>
      </w:tr>
      <w:tr>
        <w:tc>
          <w:tcPr>
            <w:tcW w:type="dxa" w:w="792"/>
            <w:shd w:fill="E9EFF4"/>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center"/>
            </w:pPr>
            <w:r>
              <w:rPr>
                <w:rFonts w:ascii="Cambria" w:hAnsi="Cambria"/>
                <w:b/>
                <w:color w:val="2B5797"/>
                <w:sz w:val="22"/>
              </w:rPr>
              <w:t>1</w:t>
            </w:r>
          </w:p>
        </w:tc>
        <w:tc>
          <w:tcPr>
            <w:tcW w:type="dxa" w:w="1008"/>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color w:val="2B5797"/>
                <w:sz w:val="22"/>
              </w:rPr>
              <w:t>UUUU</w:t>
            </w:r>
          </w:p>
        </w:tc>
        <w:tc>
          <w:tcPr>
            <w:tcW w:type="dxa" w:w="1944"/>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val="0"/>
                <w:color w:val="000000"/>
                <w:sz w:val="22"/>
              </w:rPr>
              <w:t>Energy Fuels</w:t>
            </w:r>
          </w:p>
        </w:tc>
        <w:tc>
          <w:tcPr>
            <w:tcW w:type="dxa" w:w="2808"/>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val="0"/>
                <w:color w:val="000000"/>
                <w:sz w:val="22"/>
              </w:rPr>
              <w:t>Heavy rare earth processing and Western supply-chain build-out</w:t>
            </w:r>
          </w:p>
        </w:tc>
        <w:tc>
          <w:tcPr>
            <w:tcW w:type="dxa" w:w="1267"/>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center"/>
            </w:pPr>
            <w:r>
              <w:rPr>
                <w:rFonts w:ascii="Cambria" w:hAnsi="Cambria"/>
                <w:b w:val="0"/>
                <w:color w:val="000000"/>
                <w:sz w:val="22"/>
              </w:rPr>
              <w:t>$19.36</w:t>
            </w:r>
          </w:p>
        </w:tc>
        <w:tc>
          <w:tcPr>
            <w:tcW w:type="dxa" w:w="2232"/>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val="0"/>
                <w:color w:val="000000"/>
                <w:sz w:val="22"/>
              </w:rPr>
              <w:t>Best blend of strategic relevance + execution</w:t>
            </w:r>
          </w:p>
        </w:tc>
        <w:tc>
          <w:tcPr>
            <w:tcW w:type="dxa" w:w="1555"/>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center"/>
            </w:pPr>
            <w:r>
              <w:rPr>
                <w:rFonts w:ascii="Cambria" w:hAnsi="Cambria"/>
                <w:b w:val="0"/>
                <w:color w:val="000000"/>
                <w:sz w:val="22"/>
              </w:rPr>
              <w:t>$17.50-$19.50</w:t>
            </w:r>
          </w:p>
        </w:tc>
      </w:tr>
    </w:tbl>
    <w:p>
      <w:r>
        <w:br w:type="page"/>
      </w:r>
    </w:p>
    <w:p>
      <w:pPr>
        <w:pStyle w:val="HeadingBlue"/>
        <w:spacing w:before="0" w:after="160" w:line="276" w:lineRule="auto"/>
      </w:pPr>
      <w:r>
        <w:rPr>
          <w:rFonts w:ascii="Cambria" w:hAnsi="Cambria"/>
          <w:b/>
          <w:i w:val="0"/>
          <w:color w:val="2B5797"/>
          <w:sz w:val="34"/>
        </w:rPr>
        <w:t>Ranked summary continued</w:t>
      </w:r>
    </w:p>
    <w:tbl>
      <w:tblPr>
        <w:tblW w:type="auto" w:w="0"/>
        <w:jc w:val="left"/>
        <w:tblLayout w:type="fixed"/>
        <w:tblLook w:firstColumn="1" w:firstRow="1" w:lastColumn="0" w:lastRow="0" w:noHBand="0" w:noVBand="1" w:val="04A0"/>
      </w:tblPr>
      <w:tblGrid>
        <w:gridCol w:w="1428"/>
        <w:gridCol w:w="1428"/>
        <w:gridCol w:w="1428"/>
        <w:gridCol w:w="1428"/>
        <w:gridCol w:w="1428"/>
        <w:gridCol w:w="1428"/>
        <w:gridCol w:w="1428"/>
      </w:tblGrid>
      <w:tr>
        <w:tc>
          <w:tcPr>
            <w:tcW w:type="dxa" w:w="792"/>
            <w:shd w:fill="2B5797"/>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center"/>
            </w:pPr>
            <w:r>
              <w:rPr>
                <w:rFonts w:ascii="Cambria" w:hAnsi="Cambria"/>
                <w:b/>
                <w:color w:val="FFFFFF"/>
                <w:sz w:val="22"/>
              </w:rPr>
              <w:t>Rank</w:t>
            </w:r>
          </w:p>
        </w:tc>
        <w:tc>
          <w:tcPr>
            <w:tcW w:type="dxa" w:w="1008"/>
            <w:shd w:fill="2B5797"/>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color w:val="FFFFFF"/>
                <w:sz w:val="22"/>
              </w:rPr>
              <w:t>Ticker</w:t>
            </w:r>
          </w:p>
        </w:tc>
        <w:tc>
          <w:tcPr>
            <w:tcW w:type="dxa" w:w="1944"/>
            <w:shd w:fill="2B5797"/>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color w:val="FFFFFF"/>
                <w:sz w:val="22"/>
              </w:rPr>
              <w:t>Company</w:t>
            </w:r>
          </w:p>
        </w:tc>
        <w:tc>
          <w:tcPr>
            <w:tcW w:type="dxa" w:w="2808"/>
            <w:shd w:fill="2B5797"/>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color w:val="FFFFFF"/>
                <w:sz w:val="22"/>
              </w:rPr>
              <w:t>Strategic role</w:t>
            </w:r>
          </w:p>
        </w:tc>
        <w:tc>
          <w:tcPr>
            <w:tcW w:type="dxa" w:w="1267"/>
            <w:shd w:fill="2B5797"/>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center"/>
            </w:pPr>
            <w:r>
              <w:rPr>
                <w:rFonts w:ascii="Cambria" w:hAnsi="Cambria"/>
                <w:b/>
                <w:color w:val="FFFFFF"/>
                <w:sz w:val="22"/>
              </w:rPr>
              <w:t>Current</w:t>
              <w:br/>
              <w:t>price</w:t>
            </w:r>
          </w:p>
        </w:tc>
        <w:tc>
          <w:tcPr>
            <w:tcW w:type="dxa" w:w="2232"/>
            <w:shd w:fill="2B5797"/>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color w:val="FFFFFF"/>
                <w:sz w:val="22"/>
              </w:rPr>
              <w:t>Stance</w:t>
            </w:r>
          </w:p>
        </w:tc>
        <w:tc>
          <w:tcPr>
            <w:tcW w:type="dxa" w:w="1555"/>
            <w:shd w:fill="2B5797"/>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center"/>
            </w:pPr>
            <w:r>
              <w:rPr>
                <w:rFonts w:ascii="Cambria" w:hAnsi="Cambria"/>
                <w:b/>
                <w:color w:val="FFFFFF"/>
                <w:sz w:val="22"/>
              </w:rPr>
              <w:t>Entry zone</w:t>
            </w:r>
          </w:p>
        </w:tc>
      </w:tr>
      <w:tr>
        <w:tc>
          <w:tcPr>
            <w:tcW w:type="dxa" w:w="792"/>
            <w:shd w:fill="E9EFF4"/>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center"/>
            </w:pPr>
            <w:r>
              <w:rPr>
                <w:rFonts w:ascii="Cambria" w:hAnsi="Cambria"/>
                <w:b/>
                <w:color w:val="2B5797"/>
                <w:sz w:val="22"/>
              </w:rPr>
              <w:t>2</w:t>
            </w:r>
          </w:p>
        </w:tc>
        <w:tc>
          <w:tcPr>
            <w:tcW w:type="dxa" w:w="1008"/>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color w:val="2B5797"/>
                <w:sz w:val="22"/>
              </w:rPr>
              <w:t>PPTA</w:t>
            </w:r>
          </w:p>
        </w:tc>
        <w:tc>
          <w:tcPr>
            <w:tcW w:type="dxa" w:w="1944"/>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val="0"/>
                <w:color w:val="000000"/>
                <w:sz w:val="22"/>
              </w:rPr>
              <w:t>Perpetua Resources</w:t>
            </w:r>
          </w:p>
        </w:tc>
        <w:tc>
          <w:tcPr>
            <w:tcW w:type="dxa" w:w="2808"/>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val="0"/>
                <w:color w:val="000000"/>
                <w:sz w:val="22"/>
              </w:rPr>
              <w:t>Antimony sovereignty and near-term U.S. financing catalyst</w:t>
            </w:r>
          </w:p>
        </w:tc>
        <w:tc>
          <w:tcPr>
            <w:tcW w:type="dxa" w:w="1267"/>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center"/>
            </w:pPr>
            <w:r>
              <w:rPr>
                <w:rFonts w:ascii="Cambria" w:hAnsi="Cambria"/>
                <w:b w:val="0"/>
                <w:color w:val="000000"/>
                <w:sz w:val="22"/>
              </w:rPr>
              <w:t>$30.71</w:t>
            </w:r>
          </w:p>
        </w:tc>
        <w:tc>
          <w:tcPr>
            <w:tcW w:type="dxa" w:w="2232"/>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val="0"/>
                <w:color w:val="000000"/>
                <w:sz w:val="22"/>
              </w:rPr>
              <w:t>Cleaner antimony national-security trade</w:t>
            </w:r>
          </w:p>
        </w:tc>
        <w:tc>
          <w:tcPr>
            <w:tcW w:type="dxa" w:w="1555"/>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center"/>
            </w:pPr>
            <w:r>
              <w:rPr>
                <w:rFonts w:ascii="Cambria" w:hAnsi="Cambria"/>
                <w:b w:val="0"/>
                <w:color w:val="000000"/>
                <w:sz w:val="22"/>
              </w:rPr>
              <w:t>$28-$31.50</w:t>
            </w:r>
          </w:p>
        </w:tc>
      </w:tr>
      <w:tr>
        <w:tc>
          <w:tcPr>
            <w:tcW w:type="dxa" w:w="792"/>
            <w:shd w:fill="E9EFF4"/>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center"/>
            </w:pPr>
            <w:r>
              <w:rPr>
                <w:rFonts w:ascii="Cambria" w:hAnsi="Cambria"/>
                <w:b/>
                <w:color w:val="2B5797"/>
                <w:sz w:val="22"/>
              </w:rPr>
              <w:t>3</w:t>
            </w:r>
          </w:p>
        </w:tc>
        <w:tc>
          <w:tcPr>
            <w:tcW w:type="dxa" w:w="1008"/>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color w:val="2B5797"/>
                <w:sz w:val="22"/>
              </w:rPr>
              <w:t>USAR</w:t>
            </w:r>
          </w:p>
        </w:tc>
        <w:tc>
          <w:tcPr>
            <w:tcW w:type="dxa" w:w="1944"/>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val="0"/>
                <w:color w:val="000000"/>
                <w:sz w:val="22"/>
              </w:rPr>
              <w:t>USA Rare Earth</w:t>
            </w:r>
          </w:p>
        </w:tc>
        <w:tc>
          <w:tcPr>
            <w:tcW w:type="dxa" w:w="2808"/>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val="0"/>
                <w:color w:val="000000"/>
                <w:sz w:val="22"/>
              </w:rPr>
              <w:t>Mine-to-magnet U.S. rare earth platform</w:t>
            </w:r>
          </w:p>
        </w:tc>
        <w:tc>
          <w:tcPr>
            <w:tcW w:type="dxa" w:w="1267"/>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center"/>
            </w:pPr>
            <w:r>
              <w:rPr>
                <w:rFonts w:ascii="Cambria" w:hAnsi="Cambria"/>
                <w:b w:val="0"/>
                <w:color w:val="000000"/>
                <w:sz w:val="22"/>
              </w:rPr>
              <w:t>$16.79</w:t>
            </w:r>
          </w:p>
        </w:tc>
        <w:tc>
          <w:tcPr>
            <w:tcW w:type="dxa" w:w="2232"/>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val="0"/>
                <w:color w:val="000000"/>
                <w:sz w:val="22"/>
              </w:rPr>
              <w:t>Highest torque U.S. magnet rerating story</w:t>
            </w:r>
          </w:p>
        </w:tc>
        <w:tc>
          <w:tcPr>
            <w:tcW w:type="dxa" w:w="1555"/>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center"/>
            </w:pPr>
            <w:r>
              <w:rPr>
                <w:rFonts w:ascii="Cambria" w:hAnsi="Cambria"/>
                <w:b w:val="0"/>
                <w:color w:val="000000"/>
                <w:sz w:val="22"/>
              </w:rPr>
              <w:t>$15.50-$17.00</w:t>
            </w:r>
          </w:p>
        </w:tc>
      </w:tr>
      <w:tr>
        <w:tc>
          <w:tcPr>
            <w:tcW w:type="dxa" w:w="792"/>
            <w:shd w:fill="E9EFF4"/>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center"/>
            </w:pPr>
            <w:r>
              <w:rPr>
                <w:rFonts w:ascii="Cambria" w:hAnsi="Cambria"/>
                <w:b/>
                <w:color w:val="2B5797"/>
                <w:sz w:val="22"/>
              </w:rPr>
              <w:t>4</w:t>
            </w:r>
          </w:p>
        </w:tc>
        <w:tc>
          <w:tcPr>
            <w:tcW w:type="dxa" w:w="1008"/>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color w:val="2B5797"/>
                <w:sz w:val="22"/>
              </w:rPr>
              <w:t>MP</w:t>
            </w:r>
          </w:p>
        </w:tc>
        <w:tc>
          <w:tcPr>
            <w:tcW w:type="dxa" w:w="1944"/>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val="0"/>
                <w:color w:val="000000"/>
                <w:sz w:val="22"/>
              </w:rPr>
              <w:t>MP Materials</w:t>
            </w:r>
          </w:p>
        </w:tc>
        <w:tc>
          <w:tcPr>
            <w:tcW w:type="dxa" w:w="2808"/>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val="0"/>
                <w:color w:val="000000"/>
                <w:sz w:val="22"/>
              </w:rPr>
              <w:t>Operating rare earth anchor and magnet manufacturer</w:t>
            </w:r>
          </w:p>
        </w:tc>
        <w:tc>
          <w:tcPr>
            <w:tcW w:type="dxa" w:w="1267"/>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center"/>
            </w:pPr>
            <w:r>
              <w:rPr>
                <w:rFonts w:ascii="Cambria" w:hAnsi="Cambria"/>
                <w:b w:val="0"/>
                <w:color w:val="000000"/>
                <w:sz w:val="22"/>
              </w:rPr>
              <w:t>$56.80</w:t>
            </w:r>
          </w:p>
        </w:tc>
        <w:tc>
          <w:tcPr>
            <w:tcW w:type="dxa" w:w="2232"/>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val="0"/>
                <w:color w:val="000000"/>
                <w:sz w:val="22"/>
              </w:rPr>
              <w:t>Safest strategic anchor, less explosive</w:t>
            </w:r>
          </w:p>
        </w:tc>
        <w:tc>
          <w:tcPr>
            <w:tcW w:type="dxa" w:w="1555"/>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center"/>
            </w:pPr>
            <w:r>
              <w:rPr>
                <w:rFonts w:ascii="Cambria" w:hAnsi="Cambria"/>
                <w:b w:val="0"/>
                <w:color w:val="000000"/>
                <w:sz w:val="22"/>
              </w:rPr>
              <w:t>$53-$57</w:t>
            </w:r>
          </w:p>
        </w:tc>
      </w:tr>
      <w:tr>
        <w:tc>
          <w:tcPr>
            <w:tcW w:type="dxa" w:w="792"/>
            <w:shd w:fill="E9EFF4"/>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center"/>
            </w:pPr>
            <w:r>
              <w:rPr>
                <w:rFonts w:ascii="Cambria" w:hAnsi="Cambria"/>
                <w:b/>
                <w:color w:val="2B5797"/>
                <w:sz w:val="22"/>
              </w:rPr>
              <w:t>5</w:t>
            </w:r>
          </w:p>
        </w:tc>
        <w:tc>
          <w:tcPr>
            <w:tcW w:type="dxa" w:w="1008"/>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color w:val="2B5797"/>
                <w:sz w:val="22"/>
              </w:rPr>
              <w:t>NB</w:t>
            </w:r>
          </w:p>
        </w:tc>
        <w:tc>
          <w:tcPr>
            <w:tcW w:type="dxa" w:w="1944"/>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val="0"/>
                <w:color w:val="000000"/>
                <w:sz w:val="22"/>
              </w:rPr>
              <w:t>NioCorp</w:t>
            </w:r>
          </w:p>
        </w:tc>
        <w:tc>
          <w:tcPr>
            <w:tcW w:type="dxa" w:w="2808"/>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val="0"/>
                <w:color w:val="000000"/>
                <w:sz w:val="22"/>
              </w:rPr>
              <w:t>Scandium / niobium / titanium with rare-earth optionality</w:t>
            </w:r>
          </w:p>
        </w:tc>
        <w:tc>
          <w:tcPr>
            <w:tcW w:type="dxa" w:w="1267"/>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center"/>
            </w:pPr>
            <w:r>
              <w:rPr>
                <w:rFonts w:ascii="Cambria" w:hAnsi="Cambria"/>
                <w:b w:val="0"/>
                <w:color w:val="000000"/>
                <w:sz w:val="22"/>
              </w:rPr>
              <w:t>$5.14</w:t>
            </w:r>
          </w:p>
        </w:tc>
        <w:tc>
          <w:tcPr>
            <w:tcW w:type="dxa" w:w="2232"/>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val="0"/>
                <w:color w:val="000000"/>
                <w:sz w:val="22"/>
              </w:rPr>
              <w:t>Financing and offtake torque</w:t>
            </w:r>
          </w:p>
        </w:tc>
        <w:tc>
          <w:tcPr>
            <w:tcW w:type="dxa" w:w="1555"/>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center"/>
            </w:pPr>
            <w:r>
              <w:rPr>
                <w:rFonts w:ascii="Cambria" w:hAnsi="Cambria"/>
                <w:b w:val="0"/>
                <w:color w:val="000000"/>
                <w:sz w:val="22"/>
              </w:rPr>
              <w:t>$4.80-$5.30</w:t>
            </w:r>
          </w:p>
        </w:tc>
      </w:tr>
      <w:tr>
        <w:tc>
          <w:tcPr>
            <w:tcW w:type="dxa" w:w="792"/>
            <w:shd w:fill="E9EFF4"/>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center"/>
            </w:pPr>
            <w:r>
              <w:rPr>
                <w:rFonts w:ascii="Cambria" w:hAnsi="Cambria"/>
                <w:b/>
                <w:color w:val="2B5797"/>
                <w:sz w:val="22"/>
              </w:rPr>
              <w:t>6</w:t>
            </w:r>
          </w:p>
        </w:tc>
        <w:tc>
          <w:tcPr>
            <w:tcW w:type="dxa" w:w="1008"/>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color w:val="2B5797"/>
                <w:sz w:val="22"/>
              </w:rPr>
              <w:t>UAMY</w:t>
            </w:r>
          </w:p>
        </w:tc>
        <w:tc>
          <w:tcPr>
            <w:tcW w:type="dxa" w:w="1944"/>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val="0"/>
                <w:color w:val="000000"/>
                <w:sz w:val="22"/>
              </w:rPr>
              <w:t>United States Antimony</w:t>
            </w:r>
          </w:p>
        </w:tc>
        <w:tc>
          <w:tcPr>
            <w:tcW w:type="dxa" w:w="2808"/>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val="0"/>
                <w:color w:val="000000"/>
                <w:sz w:val="22"/>
              </w:rPr>
              <w:t>Immediate antimony refining and stockpile exposure</w:t>
            </w:r>
          </w:p>
        </w:tc>
        <w:tc>
          <w:tcPr>
            <w:tcW w:type="dxa" w:w="1267"/>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center"/>
            </w:pPr>
            <w:r>
              <w:rPr>
                <w:rFonts w:ascii="Cambria" w:hAnsi="Cambria"/>
                <w:b w:val="0"/>
                <w:color w:val="000000"/>
                <w:sz w:val="22"/>
              </w:rPr>
              <w:t>$9.29</w:t>
            </w:r>
          </w:p>
        </w:tc>
        <w:tc>
          <w:tcPr>
            <w:tcW w:type="dxa" w:w="2232"/>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val="0"/>
                <w:color w:val="000000"/>
                <w:sz w:val="22"/>
              </w:rPr>
              <w:t>Processor satellite with contract support</w:t>
            </w:r>
          </w:p>
        </w:tc>
        <w:tc>
          <w:tcPr>
            <w:tcW w:type="dxa" w:w="1555"/>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center"/>
            </w:pPr>
            <w:r>
              <w:rPr>
                <w:rFonts w:ascii="Cambria" w:hAnsi="Cambria"/>
                <w:b w:val="0"/>
                <w:color w:val="000000"/>
                <w:sz w:val="22"/>
              </w:rPr>
              <w:t>$8.50-$9.30</w:t>
            </w:r>
          </w:p>
        </w:tc>
      </w:tr>
      <w:tr>
        <w:tc>
          <w:tcPr>
            <w:tcW w:type="dxa" w:w="792"/>
            <w:shd w:fill="E9EFF4"/>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center"/>
            </w:pPr>
            <w:r>
              <w:rPr>
                <w:rFonts w:ascii="Cambria" w:hAnsi="Cambria"/>
                <w:b/>
                <w:color w:val="2B5797"/>
                <w:sz w:val="22"/>
              </w:rPr>
              <w:t>7</w:t>
            </w:r>
          </w:p>
        </w:tc>
        <w:tc>
          <w:tcPr>
            <w:tcW w:type="dxa" w:w="1008"/>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color w:val="2B5797"/>
                <w:sz w:val="22"/>
              </w:rPr>
              <w:t>CRML</w:t>
            </w:r>
          </w:p>
        </w:tc>
        <w:tc>
          <w:tcPr>
            <w:tcW w:type="dxa" w:w="1944"/>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val="0"/>
                <w:color w:val="000000"/>
                <w:sz w:val="22"/>
              </w:rPr>
              <w:t>Critical Metals</w:t>
            </w:r>
          </w:p>
        </w:tc>
        <w:tc>
          <w:tcPr>
            <w:tcW w:type="dxa" w:w="2808"/>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val="0"/>
                <w:color w:val="000000"/>
                <w:sz w:val="22"/>
              </w:rPr>
              <w:t>Aligned heavy rare earth concentrate source for the West</w:t>
            </w:r>
          </w:p>
        </w:tc>
        <w:tc>
          <w:tcPr>
            <w:tcW w:type="dxa" w:w="1267"/>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center"/>
            </w:pPr>
            <w:r>
              <w:rPr>
                <w:rFonts w:ascii="Cambria" w:hAnsi="Cambria"/>
                <w:b w:val="0"/>
                <w:color w:val="000000"/>
                <w:sz w:val="22"/>
              </w:rPr>
              <w:t>$9.01</w:t>
            </w:r>
          </w:p>
        </w:tc>
        <w:tc>
          <w:tcPr>
            <w:tcW w:type="dxa" w:w="2232"/>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left"/>
            </w:pPr>
            <w:r>
              <w:rPr>
                <w:rFonts w:ascii="Cambria" w:hAnsi="Cambria"/>
                <w:b w:val="0"/>
                <w:color w:val="000000"/>
                <w:sz w:val="22"/>
              </w:rPr>
              <w:t>Higher-risk feedstock / offtake story</w:t>
            </w:r>
          </w:p>
        </w:tc>
        <w:tc>
          <w:tcPr>
            <w:tcW w:type="dxa" w:w="1555"/>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jc w:val="center"/>
            </w:pPr>
            <w:r>
              <w:rPr>
                <w:rFonts w:ascii="Cambria" w:hAnsi="Cambria"/>
                <w:b w:val="0"/>
                <w:color w:val="000000"/>
                <w:sz w:val="22"/>
              </w:rPr>
              <w:t>$8.20-$9.20</w:t>
            </w:r>
          </w:p>
        </w:tc>
      </w:tr>
    </w:tbl>
    <w:p/>
    <w:tbl>
      <w:tblPr>
        <w:tblW w:type="auto" w:w="0"/>
        <w:tblLook w:firstColumn="1" w:firstRow="1" w:lastColumn="0" w:lastRow="0" w:noHBand="0" w:noVBand="1" w:val="04A0"/>
      </w:tblPr>
      <w:tblGrid>
        <w:gridCol w:w="9994"/>
      </w:tblGrid>
      <w:tr>
        <w:tc>
          <w:tcPr>
            <w:tcW w:type="dxa" w:w="9994"/>
            <w:shd w:fill="F7EBC2"/>
            <w:tcBorders>
              <w:top w:val="single" w:sz="0" w:space="0" w:color="FFFFFF"/>
              <w:left w:val="single" w:sz="0" w:space="0" w:color="FFFFFF"/>
              <w:bottom w:val="single" w:sz="0" w:space="0" w:color="FFFFFF"/>
              <w:right w:val="single" w:sz="0" w:space="0" w:color="FFFFFF"/>
            </w:tcBorders>
            <w:tcMar>
              <w:top w:w="120" w:type="dxa"/>
              <w:start w:w="120" w:type="dxa"/>
              <w:bottom w:w="120" w:type="dxa"/>
              <w:end w:w="120" w:type="dxa"/>
            </w:tcMar>
          </w:tcPr>
          <w:p>
            <w:pPr>
              <w:spacing w:before="0" w:after="0" w:line="269" w:lineRule="auto"/>
            </w:pPr>
            <w:r>
              <w:rPr>
                <w:rFonts w:ascii="Cambria" w:hAnsi="Cambria"/>
                <w:b/>
                <w:i w:val="0"/>
                <w:color w:val="2B5797"/>
                <w:sz w:val="24"/>
              </w:rPr>
              <w:t xml:space="preserve">Important: </w:t>
            </w:r>
            <w:r>
              <w:rPr>
                <w:rFonts w:ascii="Cambria" w:hAnsi="Cambria"/>
                <w:b w:val="0"/>
                <w:i w:val="0"/>
                <w:color w:val="000000"/>
                <w:sz w:val="24"/>
              </w:rPr>
              <w:t>MP Materials remains the best strategic anchor, but it is ranked below the top three because a larger portion of the sovereignty story is already recognised in the share price.</w:t>
            </w:r>
          </w:p>
        </w:tc>
      </w:tr>
    </w:tbl>
    <w:p>
      <w:pPr>
        <w:pStyle w:val="HeadingBlue"/>
        <w:spacing w:before="120" w:after="20" w:line="276" w:lineRule="auto"/>
      </w:pPr>
      <w:r>
        <w:rPr>
          <w:rFonts w:ascii="Cambria" w:hAnsi="Cambria"/>
          <w:b/>
          <w:i w:val="0"/>
          <w:color w:val="2B5797"/>
          <w:sz w:val="36"/>
        </w:rPr>
        <w:t>1. Energy Fuels (UUUU)</w:t>
      </w:r>
    </w:p>
    <w:p>
      <w:pPr>
        <w:pStyle w:val="SubheadingBlue"/>
        <w:spacing w:before="0" w:after="160" w:line="276" w:lineRule="auto"/>
      </w:pPr>
      <w:r>
        <w:rPr>
          <w:rFonts w:ascii="Cambria" w:hAnsi="Cambria"/>
          <w:b/>
          <w:i w:val="0"/>
          <w:color w:val="2B5797"/>
          <w:sz w:val="28"/>
        </w:rPr>
        <w:t>Best blend of strategic relevance + execution</w:t>
      </w:r>
    </w:p>
    <w:tbl>
      <w:tblPr>
        <w:tblW w:type="auto" w:w="0"/>
        <w:jc w:val="left"/>
        <w:tblLayout w:type="fixed"/>
        <w:tblLook w:firstColumn="1" w:firstRow="1" w:lastColumn="0" w:lastRow="0" w:noHBand="0" w:noVBand="1" w:val="04A0"/>
      </w:tblPr>
      <w:tblGrid>
        <w:gridCol w:w="2498"/>
        <w:gridCol w:w="2498"/>
        <w:gridCol w:w="2498"/>
        <w:gridCol w:w="2498"/>
      </w:tblGrid>
      <w:tr>
        <w:tc>
          <w:tcPr>
            <w:tcW w:type="dxa" w:w="1800"/>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Current price</w:t>
            </w:r>
          </w:p>
        </w:tc>
        <w:tc>
          <w:tcPr>
            <w:tcW w:type="dxa" w:w="3672"/>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Role in chain</w:t>
            </w:r>
          </w:p>
        </w:tc>
        <w:tc>
          <w:tcPr>
            <w:tcW w:type="dxa" w:w="2448"/>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Stage</w:t>
            </w:r>
          </w:p>
        </w:tc>
        <w:tc>
          <w:tcPr>
            <w:tcW w:type="dxa" w:w="2088"/>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Conviction</w:t>
            </w:r>
          </w:p>
        </w:tc>
      </w:tr>
      <w:tr>
        <w:tc>
          <w:tcPr>
            <w:tcW w:type="dxa" w:w="1800"/>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$19.36</w:t>
            </w:r>
          </w:p>
        </w:tc>
        <w:tc>
          <w:tcPr>
            <w:tcW w:type="dxa" w:w="36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Heavy rare earth processing</w:t>
            </w:r>
          </w:p>
        </w:tc>
        <w:tc>
          <w:tcPr>
            <w:tcW w:type="dxa" w:w="2448"/>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Operating processor / producer</w:t>
            </w:r>
          </w:p>
        </w:tc>
        <w:tc>
          <w:tcPr>
            <w:tcW w:type="dxa" w:w="2088"/>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High</w:t>
            </w:r>
          </w:p>
        </w:tc>
      </w:tr>
    </w:tbl>
    <w:p/>
    <w:p>
      <w:pPr>
        <w:pStyle w:val="SubheadingBlue"/>
        <w:spacing w:before="0" w:after="60" w:line="276" w:lineRule="auto"/>
      </w:pPr>
      <w:r>
        <w:rPr>
          <w:rFonts w:ascii="Cambria" w:hAnsi="Cambria"/>
          <w:b/>
          <w:i w:val="0"/>
          <w:color w:val="2B5797"/>
          <w:sz w:val="26"/>
        </w:rPr>
        <w:t>Why it benefits from U.S. supply-chain de-risking</w:t>
      </w:r>
    </w:p>
    <w:p>
      <w:pPr>
        <w:spacing w:before="0" w:after="120" w:line="276" w:lineRule="auto"/>
      </w:pPr>
      <w:r>
        <w:rPr>
          <w:rFonts w:ascii="Cambria" w:hAnsi="Cambria"/>
          <w:b w:val="0"/>
          <w:i w:val="0"/>
          <w:color w:val="000000"/>
          <w:sz w:val="22"/>
        </w:rPr>
        <w:t>Energy Fuels is one of the few U.S.-listed names already moving material through part of the chain. It offers exposure to heavy rare earth oxides, separation capability and a broader Western supply build-out rather than just an exploration story.</w:t>
      </w:r>
    </w:p>
    <w:p>
      <w:pPr>
        <w:pStyle w:val="SubheadingBlue"/>
        <w:spacing w:before="0" w:after="60" w:line="276" w:lineRule="auto"/>
      </w:pPr>
      <w:r>
        <w:rPr>
          <w:rFonts w:ascii="Cambria" w:hAnsi="Cambria"/>
          <w:b/>
          <w:i w:val="0"/>
          <w:color w:val="2B5797"/>
          <w:sz w:val="26"/>
        </w:rPr>
        <w:t>Why it makes the watchlist now</w:t>
      </w:r>
    </w:p>
    <w:p>
      <w:pPr>
        <w:spacing w:before="0" w:after="120" w:line="276" w:lineRule="auto"/>
      </w:pPr>
      <w:r>
        <w:rPr>
          <w:rFonts w:ascii="Cambria" w:hAnsi="Cambria"/>
          <w:b w:val="0"/>
          <w:i w:val="0"/>
          <w:color w:val="000000"/>
          <w:sz w:val="22"/>
        </w:rPr>
        <w:t>The stock moved from concept toward evidence when the company announced the first U.S. primary production of high-purity terbium oxide in decades at White Mesa, following earlier dysprosium work. The proposed Australian Strategic Materials acquisition deepens its position in non-Chinese rare earth metal and alloy capacity.</w:t>
      </w:r>
    </w:p>
    <w:p>
      <w:pPr>
        <w:pStyle w:val="SubheadingBlue"/>
        <w:spacing w:before="0" w:after="40" w:line="276" w:lineRule="auto"/>
      </w:pPr>
      <w:r>
        <w:rPr>
          <w:rFonts w:ascii="Cambria" w:hAnsi="Cambria"/>
          <w:b/>
          <w:i w:val="0"/>
          <w:color w:val="2B5797"/>
          <w:sz w:val="26"/>
        </w:rPr>
        <w:t>Company fundamentals to monitor</w:t>
      </w:r>
    </w:p>
    <w:p>
      <w:pPr>
        <w:spacing w:before="0" w:after="40" w:line="278" w:lineRule="auto"/>
        <w:ind w:left="173" w:hanging="86"/>
      </w:pPr>
      <w:r>
        <w:rPr>
          <w:rFonts w:ascii="Cambria" w:hAnsi="Cambria"/>
          <w:b w:val="0"/>
          <w:i w:val="0"/>
          <w:color w:val="000000"/>
          <w:sz w:val="22"/>
        </w:rPr>
        <w:t xml:space="preserve">• </w:t>
      </w:r>
      <w:r>
        <w:rPr>
          <w:rFonts w:ascii="Cambria" w:hAnsi="Cambria"/>
          <w:b w:val="0"/>
          <w:i w:val="0"/>
          <w:color w:val="000000"/>
          <w:sz w:val="22"/>
        </w:rPr>
        <w:t>Existing operating platform matters: this is not a blank-sheet developer trying to build everything from scratch.</w:t>
      </w:r>
    </w:p>
    <w:p>
      <w:pPr>
        <w:spacing w:before="0" w:after="40" w:line="278" w:lineRule="auto"/>
        <w:ind w:left="173" w:hanging="86"/>
      </w:pPr>
      <w:r>
        <w:rPr>
          <w:rFonts w:ascii="Cambria" w:hAnsi="Cambria"/>
          <w:b w:val="0"/>
          <w:i w:val="0"/>
          <w:color w:val="000000"/>
          <w:sz w:val="22"/>
        </w:rPr>
        <w:t xml:space="preserve">• </w:t>
      </w:r>
      <w:r>
        <w:rPr>
          <w:rFonts w:ascii="Cambria" w:hAnsi="Cambria"/>
          <w:b w:val="0"/>
          <w:i w:val="0"/>
          <w:color w:val="000000"/>
          <w:sz w:val="22"/>
        </w:rPr>
        <w:t>Heavy rare earths such as terbium and dysprosium are strategically valuable because they are difficult to secure outside China and matter for high-performance magnets.</w:t>
      </w:r>
    </w:p>
    <w:p>
      <w:pPr>
        <w:spacing w:before="0" w:after="40" w:line="278" w:lineRule="auto"/>
        <w:ind w:left="173" w:hanging="86"/>
      </w:pPr>
      <w:r>
        <w:rPr>
          <w:rFonts w:ascii="Cambria" w:hAnsi="Cambria"/>
          <w:b w:val="0"/>
          <w:i w:val="0"/>
          <w:color w:val="000000"/>
          <w:sz w:val="22"/>
        </w:rPr>
        <w:t xml:space="preserve">• </w:t>
      </w:r>
      <w:r>
        <w:rPr>
          <w:rFonts w:ascii="Cambria" w:hAnsi="Cambria"/>
          <w:b w:val="0"/>
          <w:i w:val="0"/>
          <w:color w:val="000000"/>
          <w:sz w:val="22"/>
        </w:rPr>
        <w:t>The key fundamental question is whether rare-earth processing becomes a material earnings engine rather than remaining strategically impressive but financially small.</w:t>
      </w:r>
    </w:p>
    <w:p>
      <w:pPr>
        <w:pStyle w:val="SubheadingBlue"/>
        <w:spacing w:before="0" w:after="80" w:line="276" w:lineRule="auto"/>
      </w:pPr>
      <w:r>
        <w:rPr>
          <w:rFonts w:ascii="Cambria" w:hAnsi="Cambria"/>
          <w:b/>
          <w:i w:val="0"/>
          <w:color w:val="2B5797"/>
          <w:sz w:val="26"/>
        </w:rPr>
        <w:t>Entry zones and dealing discipline</w:t>
      </w:r>
    </w:p>
    <w:tbl>
      <w:tblPr>
        <w:tblW w:type="auto" w:w="0"/>
        <w:jc w:val="left"/>
        <w:tblLayout w:type="fixed"/>
        <w:tblLook w:firstColumn="1" w:firstRow="1" w:lastColumn="0" w:lastRow="0" w:noHBand="0" w:noVBand="1" w:val="04A0"/>
      </w:tblPr>
      <w:tblGrid>
        <w:gridCol w:w="4997"/>
        <w:gridCol w:w="4997"/>
      </w:tblGrid>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Accumulation zone</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$17.50-$19.50</w:t>
            </w:r>
          </w:p>
        </w:tc>
      </w:tr>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Better value zone</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$15.50-$17.40</w:t>
            </w:r>
          </w:p>
        </w:tc>
      </w:tr>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Thesis break / hard caution level</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Below $14.50 if rare-earth milestones stall or the ASM deal thesis weakens</w:t>
            </w:r>
          </w:p>
        </w:tc>
      </w:tr>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Suggested approach</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Accumulate on weakness and around integration uncertainty rather than chasing policy headlines.</w:t>
            </w:r>
          </w:p>
        </w:tc>
      </w:tr>
    </w:tbl>
    <w:p/>
    <w:p>
      <w:pPr>
        <w:pStyle w:val="SubheadingBlue"/>
        <w:spacing w:before="0" w:after="80" w:line="276" w:lineRule="auto"/>
      </w:pPr>
      <w:r>
        <w:rPr>
          <w:rFonts w:ascii="Cambria" w:hAnsi="Cambria"/>
          <w:b/>
          <w:i w:val="0"/>
          <w:color w:val="2B5797"/>
          <w:sz w:val="26"/>
        </w:rPr>
        <w:t>Catalysts and risks</w:t>
      </w:r>
    </w:p>
    <w:tbl>
      <w:tblPr>
        <w:tblW w:type="auto" w:w="0"/>
        <w:jc w:val="left"/>
        <w:tblLayout w:type="fixed"/>
        <w:tblLook w:firstColumn="1" w:firstRow="1" w:lastColumn="0" w:lastRow="0" w:noHBand="0" w:noVBand="1" w:val="04A0"/>
      </w:tblPr>
      <w:tblGrid>
        <w:gridCol w:w="4997"/>
        <w:gridCol w:w="4997"/>
      </w:tblGrid>
      <w:tr>
        <w:tc>
          <w:tcPr>
            <w:tcW w:type="dxa" w:w="5400"/>
            <w:shd w:fill="EAF3FB"/>
            <w:vAlign w:val="center"/>
            <w:tcMar>
              <w:top w:w="90" w:type="dxa"/>
              <w:start w:w="110" w:type="dxa"/>
              <w:bottom w:w="9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Upside catalysts</w:t>
            </w:r>
          </w:p>
        </w:tc>
        <w:tc>
          <w:tcPr>
            <w:tcW w:type="dxa" w:w="5400"/>
            <w:shd w:fill="EAF3FB"/>
            <w:vAlign w:val="center"/>
            <w:tcMar>
              <w:top w:w="90" w:type="dxa"/>
              <w:start w:w="110" w:type="dxa"/>
              <w:bottom w:w="9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Principal risks</w:t>
            </w:r>
          </w:p>
        </w:tc>
      </w:tr>
      <w:tr>
        <w:tc>
          <w:tcPr>
            <w:tcW w:type="dxa" w:w="5400"/>
            <w:shd w:fill="F5F7FA"/>
            <w:tcBorders>
              <w:top w:val="single" w:sz="0" w:space="0" w:color="FFFFFF"/>
              <w:left w:val="single" w:sz="0" w:space="0" w:color="FFFFFF"/>
              <w:bottom w:val="single" w:sz="0" w:space="0" w:color="FFFFFF"/>
              <w:right w:val="single" w:sz="0" w:space="0" w:color="FFFFFF"/>
            </w:tcBorders>
            <w:tcMar>
              <w:top w:w="110" w:type="dxa"/>
              <w:start w:w="110" w:type="dxa"/>
              <w:bottom w:w="110" w:type="dxa"/>
              <w:end w:w="110" w:type="dxa"/>
            </w:tcMar>
          </w:tcPr>
          <w:p>
            <w:pPr>
              <w:spacing w:before="0" w:after="40" w:line="274" w:lineRule="auto"/>
              <w:ind w:left="173" w:hanging="86"/>
            </w:pPr>
            <w:r/>
            <w:r>
              <w:rPr>
                <w:rFonts w:ascii="Cambria" w:hAnsi="Cambria"/>
                <w:b w:val="0"/>
                <w:i w:val="0"/>
                <w:color w:val="000000"/>
                <w:sz w:val="22"/>
              </w:rPr>
              <w:t xml:space="preserve">• </w:t>
            </w:r>
            <w:r>
              <w:rPr>
                <w:rFonts w:ascii="Cambria" w:hAnsi="Cambria"/>
                <w:b w:val="0"/>
                <w:i w:val="0"/>
                <w:color w:val="000000"/>
                <w:sz w:val="22"/>
              </w:rPr>
              <w:t>Further heavy rare earth production milestones at White Mesa</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ASM transaction completion and evidence of mine-to-metal integration</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More U.S. or allied support for Western separation / metal capacity</w:t>
            </w:r>
          </w:p>
        </w:tc>
        <w:tc>
          <w:tcPr>
            <w:tcW w:type="dxa" w:w="5400"/>
            <w:shd w:fill="F5F7FA"/>
            <w:tcBorders>
              <w:top w:val="single" w:sz="0" w:space="0" w:color="FFFFFF"/>
              <w:left w:val="single" w:sz="0" w:space="0" w:color="FFFFFF"/>
              <w:bottom w:val="single" w:sz="0" w:space="0" w:color="FFFFFF"/>
              <w:right w:val="single" w:sz="0" w:space="0" w:color="FFFFFF"/>
            </w:tcBorders>
            <w:tcMar>
              <w:top w:w="110" w:type="dxa"/>
              <w:start w:w="110" w:type="dxa"/>
              <w:bottom w:w="110" w:type="dxa"/>
              <w:end w:w="110" w:type="dxa"/>
            </w:tcMar>
          </w:tcPr>
          <w:p>
            <w:pPr>
              <w:spacing w:before="0" w:after="40" w:line="274" w:lineRule="auto"/>
              <w:ind w:left="173" w:hanging="86"/>
            </w:pPr>
            <w:r/>
            <w:r>
              <w:rPr>
                <w:rFonts w:ascii="Cambria" w:hAnsi="Cambria"/>
                <w:b w:val="0"/>
                <w:i w:val="0"/>
                <w:color w:val="000000"/>
                <w:sz w:val="22"/>
              </w:rPr>
              <w:t xml:space="preserve">• </w:t>
            </w:r>
            <w:r>
              <w:rPr>
                <w:rFonts w:ascii="Cambria" w:hAnsi="Cambria"/>
                <w:b w:val="0"/>
                <w:i w:val="0"/>
                <w:color w:val="000000"/>
                <w:sz w:val="22"/>
              </w:rPr>
              <w:t>Rare-earth contribution remains small versus the strategic narrative</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Integration and capital-allocation risk around acquisitions</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Commodity-price volatility causing the stock to trade as a theme rather than on steady earnings</w:t>
            </w:r>
          </w:p>
        </w:tc>
      </w:tr>
    </w:tbl>
    <w:p/>
    <w:p>
      <w:pPr>
        <w:pStyle w:val="HeadingBlue"/>
        <w:spacing w:before="120" w:after="20" w:line="276" w:lineRule="auto"/>
      </w:pPr>
      <w:r>
        <w:rPr>
          <w:rFonts w:ascii="Cambria" w:hAnsi="Cambria"/>
          <w:b/>
          <w:i w:val="0"/>
          <w:color w:val="2B5797"/>
          <w:sz w:val="36"/>
        </w:rPr>
        <w:t>2. Perpetua Resources (PPTA)</w:t>
      </w:r>
    </w:p>
    <w:p>
      <w:pPr>
        <w:pStyle w:val="SubheadingBlue"/>
        <w:spacing w:before="0" w:after="160" w:line="276" w:lineRule="auto"/>
      </w:pPr>
      <w:r>
        <w:rPr>
          <w:rFonts w:ascii="Cambria" w:hAnsi="Cambria"/>
          <w:b/>
          <w:i w:val="0"/>
          <w:color w:val="2B5797"/>
          <w:sz w:val="28"/>
        </w:rPr>
        <w:t>Cleaner antimony national-security trade</w:t>
      </w:r>
    </w:p>
    <w:tbl>
      <w:tblPr>
        <w:tblW w:type="auto" w:w="0"/>
        <w:jc w:val="left"/>
        <w:tblLayout w:type="fixed"/>
        <w:tblLook w:firstColumn="1" w:firstRow="1" w:lastColumn="0" w:lastRow="0" w:noHBand="0" w:noVBand="1" w:val="04A0"/>
      </w:tblPr>
      <w:tblGrid>
        <w:gridCol w:w="2498"/>
        <w:gridCol w:w="2498"/>
        <w:gridCol w:w="2498"/>
        <w:gridCol w:w="2498"/>
      </w:tblGrid>
      <w:tr>
        <w:tc>
          <w:tcPr>
            <w:tcW w:type="dxa" w:w="1800"/>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Current price</w:t>
            </w:r>
          </w:p>
        </w:tc>
        <w:tc>
          <w:tcPr>
            <w:tcW w:type="dxa" w:w="3672"/>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Role in chain</w:t>
            </w:r>
          </w:p>
        </w:tc>
        <w:tc>
          <w:tcPr>
            <w:tcW w:type="dxa" w:w="2448"/>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Stage</w:t>
            </w:r>
          </w:p>
        </w:tc>
        <w:tc>
          <w:tcPr>
            <w:tcW w:type="dxa" w:w="2088"/>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Conviction</w:t>
            </w:r>
          </w:p>
        </w:tc>
      </w:tr>
      <w:tr>
        <w:tc>
          <w:tcPr>
            <w:tcW w:type="dxa" w:w="1800"/>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$30.71</w:t>
            </w:r>
          </w:p>
        </w:tc>
        <w:tc>
          <w:tcPr>
            <w:tcW w:type="dxa" w:w="36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Antimony sovereignty</w:t>
            </w:r>
          </w:p>
        </w:tc>
        <w:tc>
          <w:tcPr>
            <w:tcW w:type="dxa" w:w="2448"/>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Permitted developer</w:t>
            </w:r>
          </w:p>
        </w:tc>
        <w:tc>
          <w:tcPr>
            <w:tcW w:type="dxa" w:w="2088"/>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High</w:t>
            </w:r>
          </w:p>
        </w:tc>
      </w:tr>
    </w:tbl>
    <w:p/>
    <w:p>
      <w:pPr>
        <w:pStyle w:val="SubheadingBlue"/>
        <w:spacing w:before="0" w:after="60" w:line="276" w:lineRule="auto"/>
      </w:pPr>
      <w:r>
        <w:rPr>
          <w:rFonts w:ascii="Cambria" w:hAnsi="Cambria"/>
          <w:b/>
          <w:i w:val="0"/>
          <w:color w:val="2B5797"/>
          <w:sz w:val="26"/>
        </w:rPr>
        <w:t>Why it benefits from U.S. supply-chain de-risking</w:t>
      </w:r>
    </w:p>
    <w:p>
      <w:pPr>
        <w:spacing w:before="0" w:after="120" w:line="276" w:lineRule="auto"/>
      </w:pPr>
      <w:r>
        <w:rPr>
          <w:rFonts w:ascii="Cambria" w:hAnsi="Cambria"/>
          <w:b w:val="0"/>
          <w:i w:val="0"/>
          <w:color w:val="000000"/>
          <w:sz w:val="22"/>
        </w:rPr>
        <w:t>Perpetua is the clearest U.S. antimony sovereignty trade because Stibnite is large, permitted and strategically significant. It is one of the few names that could genuinely move the U.S. supply picture rather than merely contribute marginal tonnes.</w:t>
      </w:r>
    </w:p>
    <w:p>
      <w:pPr>
        <w:pStyle w:val="SubheadingBlue"/>
        <w:spacing w:before="0" w:after="60" w:line="276" w:lineRule="auto"/>
      </w:pPr>
      <w:r>
        <w:rPr>
          <w:rFonts w:ascii="Cambria" w:hAnsi="Cambria"/>
          <w:b/>
          <w:i w:val="0"/>
          <w:color w:val="2B5797"/>
          <w:sz w:val="26"/>
        </w:rPr>
        <w:t>Why it makes the watchlist now</w:t>
      </w:r>
    </w:p>
    <w:p>
      <w:pPr>
        <w:spacing w:before="0" w:after="120" w:line="276" w:lineRule="auto"/>
      </w:pPr>
      <w:r>
        <w:rPr>
          <w:rFonts w:ascii="Cambria" w:hAnsi="Cambria"/>
          <w:b w:val="0"/>
          <w:i w:val="0"/>
          <w:color w:val="000000"/>
          <w:sz w:val="22"/>
        </w:rPr>
        <w:t>The major catalyst is financing: the U.S. Export-Import Bank board has advanced a proposed $2.7 billion loan to Congress, which would be transformative if finalised. The project is also widely framed as capable of supplying more than 35% of U.S. annual antimony needs once in operation.</w:t>
      </w:r>
    </w:p>
    <w:p>
      <w:pPr>
        <w:pStyle w:val="SubheadingBlue"/>
        <w:spacing w:before="0" w:after="40" w:line="276" w:lineRule="auto"/>
      </w:pPr>
      <w:r>
        <w:rPr>
          <w:rFonts w:ascii="Cambria" w:hAnsi="Cambria"/>
          <w:b/>
          <w:i w:val="0"/>
          <w:color w:val="2B5797"/>
          <w:sz w:val="26"/>
        </w:rPr>
        <w:t>Company fundamentals to monitor</w:t>
      </w:r>
    </w:p>
    <w:p>
      <w:pPr>
        <w:spacing w:before="0" w:after="40" w:line="278" w:lineRule="auto"/>
        <w:ind w:left="173" w:hanging="86"/>
      </w:pPr>
      <w:r>
        <w:rPr>
          <w:rFonts w:ascii="Cambria" w:hAnsi="Cambria"/>
          <w:b w:val="0"/>
          <w:i w:val="0"/>
          <w:color w:val="000000"/>
          <w:sz w:val="22"/>
        </w:rPr>
        <w:t xml:space="preserve">• </w:t>
      </w:r>
      <w:r>
        <w:rPr>
          <w:rFonts w:ascii="Cambria" w:hAnsi="Cambria"/>
          <w:b w:val="0"/>
          <w:i w:val="0"/>
          <w:color w:val="000000"/>
          <w:sz w:val="22"/>
        </w:rPr>
        <w:t>This is still a development-stage company, so the balance-sheet story is financing and project execution rather than current earnings.</w:t>
      </w:r>
    </w:p>
    <w:p>
      <w:pPr>
        <w:spacing w:before="0" w:after="40" w:line="278" w:lineRule="auto"/>
        <w:ind w:left="173" w:hanging="86"/>
      </w:pPr>
      <w:r>
        <w:rPr>
          <w:rFonts w:ascii="Cambria" w:hAnsi="Cambria"/>
          <w:b w:val="0"/>
          <w:i w:val="0"/>
          <w:color w:val="000000"/>
          <w:sz w:val="22"/>
        </w:rPr>
        <w:t xml:space="preserve">• </w:t>
      </w:r>
      <w:r>
        <w:rPr>
          <w:rFonts w:ascii="Cambria" w:hAnsi="Cambria"/>
          <w:b w:val="0"/>
          <w:i w:val="0"/>
          <w:color w:val="000000"/>
          <w:sz w:val="22"/>
        </w:rPr>
        <w:t>Stibnite also has gold economics, which helps support project finance and differentiates it from a pure antimony speculative play.</w:t>
      </w:r>
    </w:p>
    <w:p>
      <w:pPr>
        <w:spacing w:before="0" w:after="40" w:line="278" w:lineRule="auto"/>
        <w:ind w:left="173" w:hanging="86"/>
      </w:pPr>
      <w:r>
        <w:rPr>
          <w:rFonts w:ascii="Cambria" w:hAnsi="Cambria"/>
          <w:b w:val="0"/>
          <w:i w:val="0"/>
          <w:color w:val="000000"/>
          <w:sz w:val="22"/>
        </w:rPr>
        <w:t xml:space="preserve">• </w:t>
      </w:r>
      <w:r>
        <w:rPr>
          <w:rFonts w:ascii="Cambria" w:hAnsi="Cambria"/>
          <w:b w:val="0"/>
          <w:i w:val="0"/>
          <w:color w:val="000000"/>
          <w:sz w:val="22"/>
        </w:rPr>
        <w:t>Because the market understands the strategic value, the share price is highly sensitive to permit, financing and construction news.</w:t>
      </w:r>
    </w:p>
    <w:p>
      <w:pPr>
        <w:pStyle w:val="SubheadingBlue"/>
        <w:spacing w:before="0" w:after="80" w:line="276" w:lineRule="auto"/>
      </w:pPr>
      <w:r>
        <w:rPr>
          <w:rFonts w:ascii="Cambria" w:hAnsi="Cambria"/>
          <w:b/>
          <w:i w:val="0"/>
          <w:color w:val="2B5797"/>
          <w:sz w:val="26"/>
        </w:rPr>
        <w:t>Entry zones and dealing discipline</w:t>
      </w:r>
    </w:p>
    <w:tbl>
      <w:tblPr>
        <w:tblW w:type="auto" w:w="0"/>
        <w:jc w:val="left"/>
        <w:tblLayout w:type="fixed"/>
        <w:tblLook w:firstColumn="1" w:firstRow="1" w:lastColumn="0" w:lastRow="0" w:noHBand="0" w:noVBand="1" w:val="04A0"/>
      </w:tblPr>
      <w:tblGrid>
        <w:gridCol w:w="4997"/>
        <w:gridCol w:w="4997"/>
      </w:tblGrid>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Accumulation zone</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$28-$31.50</w:t>
            </w:r>
          </w:p>
        </w:tc>
      </w:tr>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Better value zone</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$24-$27.50</w:t>
            </w:r>
          </w:p>
        </w:tc>
      </w:tr>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Thesis break / hard caution level</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Below $22 on financing slippage, weaker economics or renewed permitting uncertainty</w:t>
            </w:r>
          </w:p>
        </w:tc>
      </w:tr>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Suggested approach</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Favour staged buying into financing volatility rather than paying peak momentum before definitive funding closes.</w:t>
            </w:r>
          </w:p>
        </w:tc>
      </w:tr>
    </w:tbl>
    <w:p/>
    <w:p>
      <w:pPr>
        <w:pStyle w:val="SubheadingBlue"/>
        <w:spacing w:before="0" w:after="80" w:line="276" w:lineRule="auto"/>
      </w:pPr>
      <w:r>
        <w:rPr>
          <w:rFonts w:ascii="Cambria" w:hAnsi="Cambria"/>
          <w:b/>
          <w:i w:val="0"/>
          <w:color w:val="2B5797"/>
          <w:sz w:val="26"/>
        </w:rPr>
        <w:t>Catalysts and risks</w:t>
      </w:r>
    </w:p>
    <w:tbl>
      <w:tblPr>
        <w:tblW w:type="auto" w:w="0"/>
        <w:jc w:val="left"/>
        <w:tblLayout w:type="fixed"/>
        <w:tblLook w:firstColumn="1" w:firstRow="1" w:lastColumn="0" w:lastRow="0" w:noHBand="0" w:noVBand="1" w:val="04A0"/>
      </w:tblPr>
      <w:tblGrid>
        <w:gridCol w:w="4997"/>
        <w:gridCol w:w="4997"/>
      </w:tblGrid>
      <w:tr>
        <w:tc>
          <w:tcPr>
            <w:tcW w:type="dxa" w:w="5400"/>
            <w:shd w:fill="EAF3FB"/>
            <w:vAlign w:val="center"/>
            <w:tcMar>
              <w:top w:w="90" w:type="dxa"/>
              <w:start w:w="110" w:type="dxa"/>
              <w:bottom w:w="9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Upside catalysts</w:t>
            </w:r>
          </w:p>
        </w:tc>
        <w:tc>
          <w:tcPr>
            <w:tcW w:type="dxa" w:w="5400"/>
            <w:shd w:fill="EAF3FB"/>
            <w:vAlign w:val="center"/>
            <w:tcMar>
              <w:top w:w="90" w:type="dxa"/>
              <w:start w:w="110" w:type="dxa"/>
              <w:bottom w:w="9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Principal risks</w:t>
            </w:r>
          </w:p>
        </w:tc>
      </w:tr>
      <w:tr>
        <w:tc>
          <w:tcPr>
            <w:tcW w:type="dxa" w:w="5400"/>
            <w:shd w:fill="F5F7FA"/>
            <w:tcBorders>
              <w:top w:val="single" w:sz="0" w:space="0" w:color="FFFFFF"/>
              <w:left w:val="single" w:sz="0" w:space="0" w:color="FFFFFF"/>
              <w:bottom w:val="single" w:sz="0" w:space="0" w:color="FFFFFF"/>
              <w:right w:val="single" w:sz="0" w:space="0" w:color="FFFFFF"/>
            </w:tcBorders>
            <w:tcMar>
              <w:top w:w="110" w:type="dxa"/>
              <w:start w:w="110" w:type="dxa"/>
              <w:bottom w:w="110" w:type="dxa"/>
              <w:end w:w="110" w:type="dxa"/>
            </w:tcMar>
          </w:tcPr>
          <w:p>
            <w:pPr>
              <w:spacing w:before="0" w:after="40" w:line="274" w:lineRule="auto"/>
              <w:ind w:left="173" w:hanging="86"/>
            </w:pPr>
            <w:r/>
            <w:r>
              <w:rPr>
                <w:rFonts w:ascii="Cambria" w:hAnsi="Cambria"/>
                <w:b w:val="0"/>
                <w:i w:val="0"/>
                <w:color w:val="000000"/>
                <w:sz w:val="22"/>
              </w:rPr>
              <w:t xml:space="preserve">• </w:t>
            </w:r>
            <w:r>
              <w:rPr>
                <w:rFonts w:ascii="Cambria" w:hAnsi="Cambria"/>
                <w:b w:val="0"/>
                <w:i w:val="0"/>
                <w:color w:val="000000"/>
                <w:sz w:val="22"/>
              </w:rPr>
              <w:t>Definitive EXIM loan approval and funding package closure</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Construction start and de-risking toward first production</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Any new U.S. antimony refining partnership or defence offtake structure</w:t>
            </w:r>
          </w:p>
        </w:tc>
        <w:tc>
          <w:tcPr>
            <w:tcW w:type="dxa" w:w="5400"/>
            <w:shd w:fill="F5F7FA"/>
            <w:tcBorders>
              <w:top w:val="single" w:sz="0" w:space="0" w:color="FFFFFF"/>
              <w:left w:val="single" w:sz="0" w:space="0" w:color="FFFFFF"/>
              <w:bottom w:val="single" w:sz="0" w:space="0" w:color="FFFFFF"/>
              <w:right w:val="single" w:sz="0" w:space="0" w:color="FFFFFF"/>
            </w:tcBorders>
            <w:tcMar>
              <w:top w:w="110" w:type="dxa"/>
              <w:start w:w="110" w:type="dxa"/>
              <w:bottom w:w="110" w:type="dxa"/>
              <w:end w:w="110" w:type="dxa"/>
            </w:tcMar>
          </w:tcPr>
          <w:p>
            <w:pPr>
              <w:spacing w:before="0" w:after="40" w:line="274" w:lineRule="auto"/>
              <w:ind w:left="173" w:hanging="86"/>
            </w:pPr>
            <w:r/>
            <w:r>
              <w:rPr>
                <w:rFonts w:ascii="Cambria" w:hAnsi="Cambria"/>
                <w:b w:val="0"/>
                <w:i w:val="0"/>
                <w:color w:val="000000"/>
                <w:sz w:val="22"/>
              </w:rPr>
              <w:t xml:space="preserve">• </w:t>
            </w:r>
            <w:r>
              <w:rPr>
                <w:rFonts w:ascii="Cambria" w:hAnsi="Cambria"/>
                <w:b w:val="0"/>
                <w:i w:val="0"/>
                <w:color w:val="000000"/>
                <w:sz w:val="22"/>
              </w:rPr>
              <w:t>Final financing is not yet complete</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Construction, cost inflation and schedule risk on a large mine build</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Environmental and political challenge remains possible even after major permit milestones</w:t>
            </w:r>
          </w:p>
        </w:tc>
      </w:tr>
    </w:tbl>
    <w:p/>
    <w:p>
      <w:pPr>
        <w:pStyle w:val="HeadingBlue"/>
        <w:spacing w:before="120" w:after="20" w:line="276" w:lineRule="auto"/>
      </w:pPr>
      <w:r>
        <w:rPr>
          <w:rFonts w:ascii="Cambria" w:hAnsi="Cambria"/>
          <w:b/>
          <w:i w:val="0"/>
          <w:color w:val="2B5797"/>
          <w:sz w:val="36"/>
        </w:rPr>
        <w:t>3. USA Rare Earth (USAR)</w:t>
      </w:r>
    </w:p>
    <w:p>
      <w:pPr>
        <w:pStyle w:val="SubheadingBlue"/>
        <w:spacing w:before="0" w:after="160" w:line="276" w:lineRule="auto"/>
      </w:pPr>
      <w:r>
        <w:rPr>
          <w:rFonts w:ascii="Cambria" w:hAnsi="Cambria"/>
          <w:b/>
          <w:i w:val="0"/>
          <w:color w:val="2B5797"/>
          <w:sz w:val="28"/>
        </w:rPr>
        <w:t>Highest torque U.S. magnet rerating story</w:t>
      </w:r>
    </w:p>
    <w:tbl>
      <w:tblPr>
        <w:tblW w:type="auto" w:w="0"/>
        <w:jc w:val="left"/>
        <w:tblLayout w:type="fixed"/>
        <w:tblLook w:firstColumn="1" w:firstRow="1" w:lastColumn="0" w:lastRow="0" w:noHBand="0" w:noVBand="1" w:val="04A0"/>
      </w:tblPr>
      <w:tblGrid>
        <w:gridCol w:w="2498"/>
        <w:gridCol w:w="2498"/>
        <w:gridCol w:w="2498"/>
        <w:gridCol w:w="2498"/>
      </w:tblGrid>
      <w:tr>
        <w:tc>
          <w:tcPr>
            <w:tcW w:type="dxa" w:w="1800"/>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Current price</w:t>
            </w:r>
          </w:p>
        </w:tc>
        <w:tc>
          <w:tcPr>
            <w:tcW w:type="dxa" w:w="3672"/>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Role in chain</w:t>
            </w:r>
          </w:p>
        </w:tc>
        <w:tc>
          <w:tcPr>
            <w:tcW w:type="dxa" w:w="2448"/>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Stage</w:t>
            </w:r>
          </w:p>
        </w:tc>
        <w:tc>
          <w:tcPr>
            <w:tcW w:type="dxa" w:w="2088"/>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Conviction</w:t>
            </w:r>
          </w:p>
        </w:tc>
      </w:tr>
      <w:tr>
        <w:tc>
          <w:tcPr>
            <w:tcW w:type="dxa" w:w="1800"/>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$16.79</w:t>
            </w:r>
          </w:p>
        </w:tc>
        <w:tc>
          <w:tcPr>
            <w:tcW w:type="dxa" w:w="36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Mine-to-magnet U.S. platform</w:t>
            </w:r>
          </w:p>
        </w:tc>
        <w:tc>
          <w:tcPr>
            <w:tcW w:type="dxa" w:w="2448"/>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Magnet line commissioning / developer</w:t>
            </w:r>
          </w:p>
        </w:tc>
        <w:tc>
          <w:tcPr>
            <w:tcW w:type="dxa" w:w="2088"/>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Medium-high</w:t>
            </w:r>
          </w:p>
        </w:tc>
      </w:tr>
    </w:tbl>
    <w:p/>
    <w:p>
      <w:pPr>
        <w:pStyle w:val="SubheadingBlue"/>
        <w:spacing w:before="0" w:after="60" w:line="276" w:lineRule="auto"/>
      </w:pPr>
      <w:r>
        <w:rPr>
          <w:rFonts w:ascii="Cambria" w:hAnsi="Cambria"/>
          <w:b/>
          <w:i w:val="0"/>
          <w:color w:val="2B5797"/>
          <w:sz w:val="26"/>
        </w:rPr>
        <w:t>Why it benefits from U.S. supply-chain de-risking</w:t>
      </w:r>
    </w:p>
    <w:p>
      <w:pPr>
        <w:spacing w:before="0" w:after="120" w:line="276" w:lineRule="auto"/>
      </w:pPr>
      <w:r>
        <w:rPr>
          <w:rFonts w:ascii="Cambria" w:hAnsi="Cambria"/>
          <w:b w:val="0"/>
          <w:i w:val="0"/>
          <w:color w:val="000000"/>
          <w:sz w:val="22"/>
        </w:rPr>
        <w:t>USAR offers the highest-torque U.S. rare-earth rerating story because it is trying to control the parts of the chain that matter most: the Round Top resource, processing relationships and magnet production. If it works, the valuation framework can change sharply.</w:t>
      </w:r>
    </w:p>
    <w:p>
      <w:pPr>
        <w:pStyle w:val="SubheadingBlue"/>
        <w:spacing w:before="0" w:after="60" w:line="276" w:lineRule="auto"/>
      </w:pPr>
      <w:r>
        <w:rPr>
          <w:rFonts w:ascii="Cambria" w:hAnsi="Cambria"/>
          <w:b/>
          <w:i w:val="0"/>
          <w:color w:val="2B5797"/>
          <w:sz w:val="26"/>
        </w:rPr>
        <w:t>Why it makes the watchlist now</w:t>
      </w:r>
    </w:p>
    <w:p>
      <w:pPr>
        <w:spacing w:before="0" w:after="120" w:line="276" w:lineRule="auto"/>
      </w:pPr>
      <w:r>
        <w:rPr>
          <w:rFonts w:ascii="Cambria" w:hAnsi="Cambria"/>
          <w:b w:val="0"/>
          <w:i w:val="0"/>
          <w:color w:val="000000"/>
          <w:sz w:val="22"/>
        </w:rPr>
        <w:t>The company has commissioned Phase 1a magnet production in Stillwater, enabling customer deliveries in Q2 2026, and expects a 600 mtpa run-rate by end-Q4 2026. It also agreed to buy a 12.5% stake in Carester in France with long-term supply and offtake arrangements, while U.S. backing for a $1.6 billion funding package remains a central strategic support point.</w:t>
      </w:r>
    </w:p>
    <w:p>
      <w:pPr>
        <w:pStyle w:val="SubheadingBlue"/>
        <w:spacing w:before="0" w:after="40" w:line="276" w:lineRule="auto"/>
      </w:pPr>
      <w:r>
        <w:rPr>
          <w:rFonts w:ascii="Cambria" w:hAnsi="Cambria"/>
          <w:b/>
          <w:i w:val="0"/>
          <w:color w:val="2B5797"/>
          <w:sz w:val="26"/>
        </w:rPr>
        <w:t>Company fundamentals to monitor</w:t>
      </w:r>
    </w:p>
    <w:p>
      <w:pPr>
        <w:spacing w:before="0" w:after="40" w:line="278" w:lineRule="auto"/>
        <w:ind w:left="173" w:hanging="86"/>
      </w:pPr>
      <w:r>
        <w:rPr>
          <w:rFonts w:ascii="Cambria" w:hAnsi="Cambria"/>
          <w:b w:val="0"/>
          <w:i w:val="0"/>
          <w:color w:val="000000"/>
          <w:sz w:val="22"/>
        </w:rPr>
        <w:t xml:space="preserve">• </w:t>
      </w:r>
      <w:r>
        <w:rPr>
          <w:rFonts w:ascii="Cambria" w:hAnsi="Cambria"/>
          <w:b w:val="0"/>
          <w:i w:val="0"/>
          <w:color w:val="000000"/>
          <w:sz w:val="22"/>
        </w:rPr>
        <w:t>The story is moving from 'interesting policy winner' toward actual commercial output, which is the most important transition for the equity.</w:t>
      </w:r>
    </w:p>
    <w:p>
      <w:pPr>
        <w:spacing w:before="0" w:after="40" w:line="278" w:lineRule="auto"/>
        <w:ind w:left="173" w:hanging="86"/>
      </w:pPr>
      <w:r>
        <w:rPr>
          <w:rFonts w:ascii="Cambria" w:hAnsi="Cambria"/>
          <w:b w:val="0"/>
          <w:i w:val="0"/>
          <w:color w:val="000000"/>
          <w:sz w:val="22"/>
        </w:rPr>
        <w:t xml:space="preserve">• </w:t>
      </w:r>
      <w:r>
        <w:rPr>
          <w:rFonts w:ascii="Cambria" w:hAnsi="Cambria"/>
          <w:b w:val="0"/>
          <w:i w:val="0"/>
          <w:color w:val="000000"/>
          <w:sz w:val="22"/>
        </w:rPr>
        <w:t>Stillwater magnet production matters more near term than Round Top geology because it can produce visible operational milestones and customer validation.</w:t>
      </w:r>
    </w:p>
    <w:p>
      <w:pPr>
        <w:spacing w:before="0" w:after="40" w:line="278" w:lineRule="auto"/>
        <w:ind w:left="173" w:hanging="86"/>
      </w:pPr>
      <w:r>
        <w:rPr>
          <w:rFonts w:ascii="Cambria" w:hAnsi="Cambria"/>
          <w:b w:val="0"/>
          <w:i w:val="0"/>
          <w:color w:val="000000"/>
          <w:sz w:val="22"/>
        </w:rPr>
        <w:t xml:space="preserve">• </w:t>
      </w:r>
      <w:r>
        <w:rPr>
          <w:rFonts w:ascii="Cambria" w:hAnsi="Cambria"/>
          <w:b w:val="0"/>
          <w:i w:val="0"/>
          <w:color w:val="000000"/>
          <w:sz w:val="22"/>
        </w:rPr>
        <w:t>This remains a financing- and execution-sensitive name; the rerating case depends on ramp quality, capital discipline and government package follow-through.</w:t>
      </w:r>
    </w:p>
    <w:p>
      <w:pPr>
        <w:pStyle w:val="SubheadingBlue"/>
        <w:spacing w:before="0" w:after="80" w:line="276" w:lineRule="auto"/>
      </w:pPr>
      <w:r>
        <w:rPr>
          <w:rFonts w:ascii="Cambria" w:hAnsi="Cambria"/>
          <w:b/>
          <w:i w:val="0"/>
          <w:color w:val="2B5797"/>
          <w:sz w:val="26"/>
        </w:rPr>
        <w:t>Entry zones and dealing discipline</w:t>
      </w:r>
    </w:p>
    <w:tbl>
      <w:tblPr>
        <w:tblW w:type="auto" w:w="0"/>
        <w:jc w:val="left"/>
        <w:tblLayout w:type="fixed"/>
        <w:tblLook w:firstColumn="1" w:firstRow="1" w:lastColumn="0" w:lastRow="0" w:noHBand="0" w:noVBand="1" w:val="04A0"/>
      </w:tblPr>
      <w:tblGrid>
        <w:gridCol w:w="4997"/>
        <w:gridCol w:w="4997"/>
      </w:tblGrid>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Accumulation zone</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$15.50-$17.00</w:t>
            </w:r>
          </w:p>
        </w:tc>
      </w:tr>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Better value zone</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$13.00-$15.00</w:t>
            </w:r>
          </w:p>
        </w:tc>
      </w:tr>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Thesis break / hard caution level</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Below $11.50 if magnet ramp slips materially or government support becomes uncertain</w:t>
            </w:r>
          </w:p>
        </w:tc>
      </w:tr>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Suggested approach</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Treat as a catalyst trade built in tranches around commissioning, customer-delivery and funding updates.</w:t>
            </w:r>
          </w:p>
        </w:tc>
      </w:tr>
    </w:tbl>
    <w:p/>
    <w:p>
      <w:pPr>
        <w:pStyle w:val="SubheadingBlue"/>
        <w:spacing w:before="0" w:after="80" w:line="276" w:lineRule="auto"/>
      </w:pPr>
      <w:r>
        <w:rPr>
          <w:rFonts w:ascii="Cambria" w:hAnsi="Cambria"/>
          <w:b/>
          <w:i w:val="0"/>
          <w:color w:val="2B5797"/>
          <w:sz w:val="26"/>
        </w:rPr>
        <w:t>Catalysts and risks</w:t>
      </w:r>
    </w:p>
    <w:tbl>
      <w:tblPr>
        <w:tblW w:type="auto" w:w="0"/>
        <w:jc w:val="left"/>
        <w:tblLayout w:type="fixed"/>
        <w:tblLook w:firstColumn="1" w:firstRow="1" w:lastColumn="0" w:lastRow="0" w:noHBand="0" w:noVBand="1" w:val="04A0"/>
      </w:tblPr>
      <w:tblGrid>
        <w:gridCol w:w="4997"/>
        <w:gridCol w:w="4997"/>
      </w:tblGrid>
      <w:tr>
        <w:tc>
          <w:tcPr>
            <w:tcW w:type="dxa" w:w="5400"/>
            <w:shd w:fill="EAF3FB"/>
            <w:vAlign w:val="center"/>
            <w:tcMar>
              <w:top w:w="90" w:type="dxa"/>
              <w:start w:w="110" w:type="dxa"/>
              <w:bottom w:w="9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Upside catalysts</w:t>
            </w:r>
          </w:p>
        </w:tc>
        <w:tc>
          <w:tcPr>
            <w:tcW w:type="dxa" w:w="5400"/>
            <w:shd w:fill="EAF3FB"/>
            <w:vAlign w:val="center"/>
            <w:tcMar>
              <w:top w:w="90" w:type="dxa"/>
              <w:start w:w="110" w:type="dxa"/>
              <w:bottom w:w="9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Principal risks</w:t>
            </w:r>
          </w:p>
        </w:tc>
      </w:tr>
      <w:tr>
        <w:tc>
          <w:tcPr>
            <w:tcW w:type="dxa" w:w="5400"/>
            <w:shd w:fill="F5F7FA"/>
            <w:tcBorders>
              <w:top w:val="single" w:sz="0" w:space="0" w:color="FFFFFF"/>
              <w:left w:val="single" w:sz="0" w:space="0" w:color="FFFFFF"/>
              <w:bottom w:val="single" w:sz="0" w:space="0" w:color="FFFFFF"/>
              <w:right w:val="single" w:sz="0" w:space="0" w:color="FFFFFF"/>
            </w:tcBorders>
            <w:tcMar>
              <w:top w:w="110" w:type="dxa"/>
              <w:start w:w="110" w:type="dxa"/>
              <w:bottom w:w="110" w:type="dxa"/>
              <w:end w:w="110" w:type="dxa"/>
            </w:tcMar>
          </w:tcPr>
          <w:p>
            <w:pPr>
              <w:spacing w:before="0" w:after="40" w:line="274" w:lineRule="auto"/>
              <w:ind w:left="173" w:hanging="86"/>
            </w:pPr>
            <w:r/>
            <w:r>
              <w:rPr>
                <w:rFonts w:ascii="Cambria" w:hAnsi="Cambria"/>
                <w:b w:val="0"/>
                <w:i w:val="0"/>
                <w:color w:val="000000"/>
                <w:sz w:val="22"/>
              </w:rPr>
              <w:t xml:space="preserve">• </w:t>
            </w:r>
            <w:r>
              <w:rPr>
                <w:rFonts w:ascii="Cambria" w:hAnsi="Cambria"/>
                <w:b w:val="0"/>
                <w:i w:val="0"/>
                <w:color w:val="000000"/>
                <w:sz w:val="22"/>
              </w:rPr>
              <w:t>Successful customer deliveries and visible production ramp at Stillwater</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Funding package confirmation and stronger visibility on Round Top development</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Further downstream wins in processing, alloys or magnets with U.S. and allied partners</w:t>
            </w:r>
          </w:p>
        </w:tc>
        <w:tc>
          <w:tcPr>
            <w:tcW w:type="dxa" w:w="5400"/>
            <w:shd w:fill="F5F7FA"/>
            <w:tcBorders>
              <w:top w:val="single" w:sz="0" w:space="0" w:color="FFFFFF"/>
              <w:left w:val="single" w:sz="0" w:space="0" w:color="FFFFFF"/>
              <w:bottom w:val="single" w:sz="0" w:space="0" w:color="FFFFFF"/>
              <w:right w:val="single" w:sz="0" w:space="0" w:color="FFFFFF"/>
            </w:tcBorders>
            <w:tcMar>
              <w:top w:w="110" w:type="dxa"/>
              <w:start w:w="110" w:type="dxa"/>
              <w:bottom w:w="110" w:type="dxa"/>
              <w:end w:w="110" w:type="dxa"/>
            </w:tcMar>
          </w:tcPr>
          <w:p>
            <w:pPr>
              <w:spacing w:before="0" w:after="40" w:line="274" w:lineRule="auto"/>
              <w:ind w:left="173" w:hanging="86"/>
            </w:pPr>
            <w:r/>
            <w:r>
              <w:rPr>
                <w:rFonts w:ascii="Cambria" w:hAnsi="Cambria"/>
                <w:b w:val="0"/>
                <w:i w:val="0"/>
                <w:color w:val="000000"/>
                <w:sz w:val="22"/>
              </w:rPr>
              <w:t xml:space="preserve">• </w:t>
            </w:r>
            <w:r>
              <w:rPr>
                <w:rFonts w:ascii="Cambria" w:hAnsi="Cambria"/>
                <w:b w:val="0"/>
                <w:i w:val="0"/>
                <w:color w:val="000000"/>
                <w:sz w:val="22"/>
              </w:rPr>
              <w:t>Ramp execution and quality-control risk at the magnet facility</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Government-backed funding may take longer or come with dilutive terms</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The company still needs to prove it can convert strategic relevance into repeatable commercial results</w:t>
            </w:r>
          </w:p>
        </w:tc>
      </w:tr>
    </w:tbl>
    <w:p/>
    <w:p>
      <w:pPr>
        <w:pStyle w:val="HeadingBlue"/>
        <w:spacing w:before="120" w:after="20" w:line="276" w:lineRule="auto"/>
      </w:pPr>
      <w:r>
        <w:rPr>
          <w:rFonts w:ascii="Cambria" w:hAnsi="Cambria"/>
          <w:b/>
          <w:i w:val="0"/>
          <w:color w:val="2B5797"/>
          <w:sz w:val="36"/>
        </w:rPr>
        <w:t>4. MP Materials (MP)</w:t>
      </w:r>
    </w:p>
    <w:p>
      <w:pPr>
        <w:pStyle w:val="SubheadingBlue"/>
        <w:spacing w:before="0" w:after="160" w:line="276" w:lineRule="auto"/>
      </w:pPr>
      <w:r>
        <w:rPr>
          <w:rFonts w:ascii="Cambria" w:hAnsi="Cambria"/>
          <w:b/>
          <w:i w:val="0"/>
          <w:color w:val="2B5797"/>
          <w:sz w:val="28"/>
        </w:rPr>
        <w:t>Safest strategic anchor, less explosive</w:t>
      </w:r>
    </w:p>
    <w:tbl>
      <w:tblPr>
        <w:tblW w:type="auto" w:w="0"/>
        <w:jc w:val="left"/>
        <w:tblLayout w:type="fixed"/>
        <w:tblLook w:firstColumn="1" w:firstRow="1" w:lastColumn="0" w:lastRow="0" w:noHBand="0" w:noVBand="1" w:val="04A0"/>
      </w:tblPr>
      <w:tblGrid>
        <w:gridCol w:w="2498"/>
        <w:gridCol w:w="2498"/>
        <w:gridCol w:w="2498"/>
        <w:gridCol w:w="2498"/>
      </w:tblGrid>
      <w:tr>
        <w:tc>
          <w:tcPr>
            <w:tcW w:type="dxa" w:w="1800"/>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Current price</w:t>
            </w:r>
          </w:p>
        </w:tc>
        <w:tc>
          <w:tcPr>
            <w:tcW w:type="dxa" w:w="3672"/>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Role in chain</w:t>
            </w:r>
          </w:p>
        </w:tc>
        <w:tc>
          <w:tcPr>
            <w:tcW w:type="dxa" w:w="2448"/>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Stage</w:t>
            </w:r>
          </w:p>
        </w:tc>
        <w:tc>
          <w:tcPr>
            <w:tcW w:type="dxa" w:w="2088"/>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Conviction</w:t>
            </w:r>
          </w:p>
        </w:tc>
      </w:tr>
      <w:tr>
        <w:tc>
          <w:tcPr>
            <w:tcW w:type="dxa" w:w="1800"/>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$56.80</w:t>
            </w:r>
          </w:p>
        </w:tc>
        <w:tc>
          <w:tcPr>
            <w:tcW w:type="dxa" w:w="36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Operating rare earth anchor</w:t>
            </w:r>
          </w:p>
        </w:tc>
        <w:tc>
          <w:tcPr>
            <w:tcW w:type="dxa" w:w="2448"/>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Operating miner / magnetics build-out</w:t>
            </w:r>
          </w:p>
        </w:tc>
        <w:tc>
          <w:tcPr>
            <w:tcW w:type="dxa" w:w="2088"/>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Medium-high</w:t>
            </w:r>
          </w:p>
        </w:tc>
      </w:tr>
    </w:tbl>
    <w:p/>
    <w:p>
      <w:pPr>
        <w:pStyle w:val="SubheadingBlue"/>
        <w:spacing w:before="0" w:after="60" w:line="276" w:lineRule="auto"/>
      </w:pPr>
      <w:r>
        <w:rPr>
          <w:rFonts w:ascii="Cambria" w:hAnsi="Cambria"/>
          <w:b/>
          <w:i w:val="0"/>
          <w:color w:val="2B5797"/>
          <w:sz w:val="26"/>
        </w:rPr>
        <w:t>Why it benefits from U.S. supply-chain de-risking</w:t>
      </w:r>
    </w:p>
    <w:p>
      <w:pPr>
        <w:spacing w:before="0" w:after="120" w:line="276" w:lineRule="auto"/>
      </w:pPr>
      <w:r>
        <w:rPr>
          <w:rFonts w:ascii="Cambria" w:hAnsi="Cambria"/>
          <w:b w:val="0"/>
          <w:i w:val="0"/>
          <w:color w:val="000000"/>
          <w:sz w:val="22"/>
        </w:rPr>
        <w:t>MP is the anchor name for the theme because it already operates the only active rare-earth mine in North America and is moving downstream into metal and magnets. It is the least speculative way to own U.S. rare-earth sovereignty.</w:t>
      </w:r>
    </w:p>
    <w:p>
      <w:pPr>
        <w:pStyle w:val="SubheadingBlue"/>
        <w:spacing w:before="0" w:after="60" w:line="276" w:lineRule="auto"/>
      </w:pPr>
      <w:r>
        <w:rPr>
          <w:rFonts w:ascii="Cambria" w:hAnsi="Cambria"/>
          <w:b/>
          <w:i w:val="0"/>
          <w:color w:val="2B5797"/>
          <w:sz w:val="26"/>
        </w:rPr>
        <w:t>Why it makes the watchlist now</w:t>
      </w:r>
    </w:p>
    <w:p>
      <w:pPr>
        <w:spacing w:before="0" w:after="120" w:line="276" w:lineRule="auto"/>
      </w:pPr>
      <w:r>
        <w:rPr>
          <w:rFonts w:ascii="Cambria" w:hAnsi="Cambria"/>
          <w:b w:val="0"/>
          <w:i w:val="0"/>
          <w:color w:val="000000"/>
          <w:sz w:val="22"/>
        </w:rPr>
        <w:t>MP swung to quarterly profit with help from the U.S. government price-support arrangement, reported magnetics revenue in Q4, and selected Texas as the site of its $1.25 billion-plus 10X magnet campus backed by a 10-year Pentagon offtake commitment.</w:t>
      </w:r>
    </w:p>
    <w:p>
      <w:pPr>
        <w:pStyle w:val="SubheadingBlue"/>
        <w:spacing w:before="0" w:after="40" w:line="276" w:lineRule="auto"/>
      </w:pPr>
      <w:r>
        <w:rPr>
          <w:rFonts w:ascii="Cambria" w:hAnsi="Cambria"/>
          <w:b/>
          <w:i w:val="0"/>
          <w:color w:val="2B5797"/>
          <w:sz w:val="26"/>
        </w:rPr>
        <w:t>Company fundamentals to monitor</w:t>
      </w:r>
    </w:p>
    <w:p>
      <w:pPr>
        <w:spacing w:before="0" w:after="40" w:line="278" w:lineRule="auto"/>
        <w:ind w:left="173" w:hanging="86"/>
      </w:pPr>
      <w:r>
        <w:rPr>
          <w:rFonts w:ascii="Cambria" w:hAnsi="Cambria"/>
          <w:b w:val="0"/>
          <w:i w:val="0"/>
          <w:color w:val="000000"/>
          <w:sz w:val="22"/>
        </w:rPr>
        <w:t xml:space="preserve">• </w:t>
      </w:r>
      <w:r>
        <w:rPr>
          <w:rFonts w:ascii="Cambria" w:hAnsi="Cambria"/>
          <w:b w:val="0"/>
          <w:i w:val="0"/>
          <w:color w:val="000000"/>
          <w:sz w:val="22"/>
        </w:rPr>
        <w:t>This is the most de-risked rare-earth name on the list from an operating-asset perspective.</w:t>
      </w:r>
    </w:p>
    <w:p>
      <w:pPr>
        <w:spacing w:before="0" w:after="40" w:line="278" w:lineRule="auto"/>
        <w:ind w:left="173" w:hanging="86"/>
      </w:pPr>
      <w:r>
        <w:rPr>
          <w:rFonts w:ascii="Cambria" w:hAnsi="Cambria"/>
          <w:b w:val="0"/>
          <w:i w:val="0"/>
          <w:color w:val="000000"/>
          <w:sz w:val="22"/>
        </w:rPr>
        <w:t xml:space="preserve">• </w:t>
      </w:r>
      <w:r>
        <w:rPr>
          <w:rFonts w:ascii="Cambria" w:hAnsi="Cambria"/>
          <w:b w:val="0"/>
          <w:i w:val="0"/>
          <w:color w:val="000000"/>
          <w:sz w:val="22"/>
        </w:rPr>
        <w:t>The business is increasingly about vertical integration rather than just mined concentrate pricing.</w:t>
      </w:r>
    </w:p>
    <w:p>
      <w:pPr>
        <w:spacing w:before="0" w:after="40" w:line="278" w:lineRule="auto"/>
        <w:ind w:left="173" w:hanging="86"/>
      </w:pPr>
      <w:r>
        <w:rPr>
          <w:rFonts w:ascii="Cambria" w:hAnsi="Cambria"/>
          <w:b w:val="0"/>
          <w:i w:val="0"/>
          <w:color w:val="000000"/>
          <w:sz w:val="22"/>
        </w:rPr>
        <w:t xml:space="preserve">• </w:t>
      </w:r>
      <w:r>
        <w:rPr>
          <w:rFonts w:ascii="Cambria" w:hAnsi="Cambria"/>
          <w:b w:val="0"/>
          <w:i w:val="0"/>
          <w:color w:val="000000"/>
          <w:sz w:val="22"/>
        </w:rPr>
        <w:t>Because it is larger and better known, it may not deliver the same explosive rerating as smaller developers unless downstream execution materially exceeds expectations.</w:t>
      </w:r>
    </w:p>
    <w:p>
      <w:pPr>
        <w:pStyle w:val="SubheadingBlue"/>
        <w:spacing w:before="0" w:after="80" w:line="276" w:lineRule="auto"/>
      </w:pPr>
      <w:r>
        <w:rPr>
          <w:rFonts w:ascii="Cambria" w:hAnsi="Cambria"/>
          <w:b/>
          <w:i w:val="0"/>
          <w:color w:val="2B5797"/>
          <w:sz w:val="26"/>
        </w:rPr>
        <w:t>Entry zones and dealing discipline</w:t>
      </w:r>
    </w:p>
    <w:tbl>
      <w:tblPr>
        <w:tblW w:type="auto" w:w="0"/>
        <w:jc w:val="left"/>
        <w:tblLayout w:type="fixed"/>
        <w:tblLook w:firstColumn="1" w:firstRow="1" w:lastColumn="0" w:lastRow="0" w:noHBand="0" w:noVBand="1" w:val="04A0"/>
      </w:tblPr>
      <w:tblGrid>
        <w:gridCol w:w="4997"/>
        <w:gridCol w:w="4997"/>
      </w:tblGrid>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Accumulation zone</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$53-$57</w:t>
            </w:r>
          </w:p>
        </w:tc>
      </w:tr>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Better value zone</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$47-$52</w:t>
            </w:r>
          </w:p>
        </w:tc>
      </w:tr>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Thesis break / hard caution level</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Below $44 if magnetics progress stalls or rare-earth pricing rolls over sharply</w:t>
            </w:r>
          </w:p>
        </w:tc>
      </w:tr>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Suggested approach</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Use MP as the core holding around which higher-beta names can sit, rather than as the pure torque trade.</w:t>
            </w:r>
          </w:p>
        </w:tc>
      </w:tr>
    </w:tbl>
    <w:p/>
    <w:p>
      <w:pPr>
        <w:pStyle w:val="SubheadingBlue"/>
        <w:spacing w:before="0" w:after="80" w:line="276" w:lineRule="auto"/>
      </w:pPr>
      <w:r>
        <w:rPr>
          <w:rFonts w:ascii="Cambria" w:hAnsi="Cambria"/>
          <w:b/>
          <w:i w:val="0"/>
          <w:color w:val="2B5797"/>
          <w:sz w:val="26"/>
        </w:rPr>
        <w:t>Catalysts and risks</w:t>
      </w:r>
    </w:p>
    <w:tbl>
      <w:tblPr>
        <w:tblW w:type="auto" w:w="0"/>
        <w:jc w:val="left"/>
        <w:tblLayout w:type="fixed"/>
        <w:tblLook w:firstColumn="1" w:firstRow="1" w:lastColumn="0" w:lastRow="0" w:noHBand="0" w:noVBand="1" w:val="04A0"/>
      </w:tblPr>
      <w:tblGrid>
        <w:gridCol w:w="4997"/>
        <w:gridCol w:w="4997"/>
      </w:tblGrid>
      <w:tr>
        <w:tc>
          <w:tcPr>
            <w:tcW w:type="dxa" w:w="5400"/>
            <w:shd w:fill="EAF3FB"/>
            <w:vAlign w:val="center"/>
            <w:tcMar>
              <w:top w:w="90" w:type="dxa"/>
              <w:start w:w="110" w:type="dxa"/>
              <w:bottom w:w="9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Upside catalysts</w:t>
            </w:r>
          </w:p>
        </w:tc>
        <w:tc>
          <w:tcPr>
            <w:tcW w:type="dxa" w:w="5400"/>
            <w:shd w:fill="EAF3FB"/>
            <w:vAlign w:val="center"/>
            <w:tcMar>
              <w:top w:w="90" w:type="dxa"/>
              <w:start w:w="110" w:type="dxa"/>
              <w:bottom w:w="9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Principal risks</w:t>
            </w:r>
          </w:p>
        </w:tc>
      </w:tr>
      <w:tr>
        <w:tc>
          <w:tcPr>
            <w:tcW w:type="dxa" w:w="5400"/>
            <w:shd w:fill="F5F7FA"/>
            <w:tcBorders>
              <w:top w:val="single" w:sz="0" w:space="0" w:color="FFFFFF"/>
              <w:left w:val="single" w:sz="0" w:space="0" w:color="FFFFFF"/>
              <w:bottom w:val="single" w:sz="0" w:space="0" w:color="FFFFFF"/>
              <w:right w:val="single" w:sz="0" w:space="0" w:color="FFFFFF"/>
            </w:tcBorders>
            <w:tcMar>
              <w:top w:w="110" w:type="dxa"/>
              <w:start w:w="110" w:type="dxa"/>
              <w:bottom w:w="110" w:type="dxa"/>
              <w:end w:w="110" w:type="dxa"/>
            </w:tcMar>
          </w:tcPr>
          <w:p>
            <w:pPr>
              <w:spacing w:before="0" w:after="40" w:line="274" w:lineRule="auto"/>
              <w:ind w:left="173" w:hanging="86"/>
            </w:pPr>
            <w:r/>
            <w:r>
              <w:rPr>
                <w:rFonts w:ascii="Cambria" w:hAnsi="Cambria"/>
                <w:b w:val="0"/>
                <w:i w:val="0"/>
                <w:color w:val="000000"/>
                <w:sz w:val="22"/>
              </w:rPr>
              <w:t xml:space="preserve">• </w:t>
            </w:r>
            <w:r>
              <w:rPr>
                <w:rFonts w:ascii="Cambria" w:hAnsi="Cambria"/>
                <w:b w:val="0"/>
                <w:i w:val="0"/>
                <w:color w:val="000000"/>
                <w:sz w:val="22"/>
              </w:rPr>
              <w:t>Further magnetics revenue growth and downstream margin visibility</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10X campus execution and customer conversion</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Additional U.S. policy support or floor-price style arrangements for strategic materials</w:t>
            </w:r>
          </w:p>
        </w:tc>
        <w:tc>
          <w:tcPr>
            <w:tcW w:type="dxa" w:w="5400"/>
            <w:shd w:fill="F5F7FA"/>
            <w:tcBorders>
              <w:top w:val="single" w:sz="0" w:space="0" w:color="FFFFFF"/>
              <w:left w:val="single" w:sz="0" w:space="0" w:color="FFFFFF"/>
              <w:bottom w:val="single" w:sz="0" w:space="0" w:color="FFFFFF"/>
              <w:right w:val="single" w:sz="0" w:space="0" w:color="FFFFFF"/>
            </w:tcBorders>
            <w:tcMar>
              <w:top w:w="110" w:type="dxa"/>
              <w:start w:w="110" w:type="dxa"/>
              <w:bottom w:w="110" w:type="dxa"/>
              <w:end w:w="110" w:type="dxa"/>
            </w:tcMar>
          </w:tcPr>
          <w:p>
            <w:pPr>
              <w:spacing w:before="0" w:after="40" w:line="274" w:lineRule="auto"/>
              <w:ind w:left="173" w:hanging="86"/>
            </w:pPr>
            <w:r/>
            <w:r>
              <w:rPr>
                <w:rFonts w:ascii="Cambria" w:hAnsi="Cambria"/>
                <w:b w:val="0"/>
                <w:i w:val="0"/>
                <w:color w:val="000000"/>
                <w:sz w:val="22"/>
              </w:rPr>
              <w:t xml:space="preserve">• </w:t>
            </w:r>
            <w:r>
              <w:rPr>
                <w:rFonts w:ascii="Cambria" w:hAnsi="Cambria"/>
                <w:b w:val="0"/>
                <w:i w:val="0"/>
                <w:color w:val="000000"/>
                <w:sz w:val="22"/>
              </w:rPr>
              <w:t>A significant part of the sovereignty story is already in the price</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Rare-earth prices remain cyclical and can obscure operating progress</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Large-cap style valuation discipline limits 'exponential' upside</w:t>
            </w:r>
          </w:p>
        </w:tc>
      </w:tr>
    </w:tbl>
    <w:p/>
    <w:p>
      <w:pPr>
        <w:pStyle w:val="HeadingBlue"/>
        <w:spacing w:before="120" w:after="20" w:line="276" w:lineRule="auto"/>
      </w:pPr>
      <w:r>
        <w:rPr>
          <w:rFonts w:ascii="Cambria" w:hAnsi="Cambria"/>
          <w:b/>
          <w:i w:val="0"/>
          <w:color w:val="2B5797"/>
          <w:sz w:val="36"/>
        </w:rPr>
        <w:t>5. NioCorp Developments (NB)</w:t>
      </w:r>
    </w:p>
    <w:p>
      <w:pPr>
        <w:pStyle w:val="SubheadingBlue"/>
        <w:spacing w:before="0" w:after="160" w:line="276" w:lineRule="auto"/>
      </w:pPr>
      <w:r>
        <w:rPr>
          <w:rFonts w:ascii="Cambria" w:hAnsi="Cambria"/>
          <w:b/>
          <w:i w:val="0"/>
          <w:color w:val="2B5797"/>
          <w:sz w:val="28"/>
        </w:rPr>
        <w:t>Financing and offtake torque</w:t>
      </w:r>
    </w:p>
    <w:tbl>
      <w:tblPr>
        <w:tblW w:type="auto" w:w="0"/>
        <w:jc w:val="left"/>
        <w:tblLayout w:type="fixed"/>
        <w:tblLook w:firstColumn="1" w:firstRow="1" w:lastColumn="0" w:lastRow="0" w:noHBand="0" w:noVBand="1" w:val="04A0"/>
      </w:tblPr>
      <w:tblGrid>
        <w:gridCol w:w="2498"/>
        <w:gridCol w:w="2498"/>
        <w:gridCol w:w="2498"/>
        <w:gridCol w:w="2498"/>
      </w:tblGrid>
      <w:tr>
        <w:tc>
          <w:tcPr>
            <w:tcW w:type="dxa" w:w="1800"/>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Current price</w:t>
            </w:r>
          </w:p>
        </w:tc>
        <w:tc>
          <w:tcPr>
            <w:tcW w:type="dxa" w:w="3672"/>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Role in chain</w:t>
            </w:r>
          </w:p>
        </w:tc>
        <w:tc>
          <w:tcPr>
            <w:tcW w:type="dxa" w:w="2448"/>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Stage</w:t>
            </w:r>
          </w:p>
        </w:tc>
        <w:tc>
          <w:tcPr>
            <w:tcW w:type="dxa" w:w="2088"/>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Conviction</w:t>
            </w:r>
          </w:p>
        </w:tc>
      </w:tr>
      <w:tr>
        <w:tc>
          <w:tcPr>
            <w:tcW w:type="dxa" w:w="1800"/>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$5.14</w:t>
            </w:r>
          </w:p>
        </w:tc>
        <w:tc>
          <w:tcPr>
            <w:tcW w:type="dxa" w:w="36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Scandium / niobium / titanium optionality</w:t>
            </w:r>
          </w:p>
        </w:tc>
        <w:tc>
          <w:tcPr>
            <w:tcW w:type="dxa" w:w="2448"/>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Construction-start developer</w:t>
            </w:r>
          </w:p>
        </w:tc>
        <w:tc>
          <w:tcPr>
            <w:tcW w:type="dxa" w:w="2088"/>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Medium</w:t>
            </w:r>
          </w:p>
        </w:tc>
      </w:tr>
    </w:tbl>
    <w:p/>
    <w:p>
      <w:pPr>
        <w:pStyle w:val="SubheadingBlue"/>
        <w:spacing w:before="0" w:after="60" w:line="276" w:lineRule="auto"/>
      </w:pPr>
      <w:r>
        <w:rPr>
          <w:rFonts w:ascii="Cambria" w:hAnsi="Cambria"/>
          <w:b/>
          <w:i w:val="0"/>
          <w:color w:val="2B5797"/>
          <w:sz w:val="26"/>
        </w:rPr>
        <w:t>Why it benefits from U.S. supply-chain de-risking</w:t>
      </w:r>
    </w:p>
    <w:p>
      <w:pPr>
        <w:spacing w:before="0" w:after="120" w:line="276" w:lineRule="auto"/>
      </w:pPr>
      <w:r>
        <w:rPr>
          <w:rFonts w:ascii="Cambria" w:hAnsi="Cambria"/>
          <w:b w:val="0"/>
          <w:i w:val="0"/>
          <w:color w:val="000000"/>
          <w:sz w:val="22"/>
        </w:rPr>
        <w:t>NioCorp sits in a different but still strategic bucket: scandium, niobium and titanium with rare-earth optionality. The U.S. defence angle is strongest on scandium, where domestic supply is thin and strategic interest is rising.</w:t>
      </w:r>
    </w:p>
    <w:p>
      <w:pPr>
        <w:pStyle w:val="SubheadingBlue"/>
        <w:spacing w:before="0" w:after="60" w:line="276" w:lineRule="auto"/>
      </w:pPr>
      <w:r>
        <w:rPr>
          <w:rFonts w:ascii="Cambria" w:hAnsi="Cambria"/>
          <w:b/>
          <w:i w:val="0"/>
          <w:color w:val="2B5797"/>
          <w:sz w:val="26"/>
        </w:rPr>
        <w:t>Why it makes the watchlist now</w:t>
      </w:r>
    </w:p>
    <w:p>
      <w:pPr>
        <w:spacing w:before="0" w:after="120" w:line="276" w:lineRule="auto"/>
      </w:pPr>
      <w:r>
        <w:rPr>
          <w:rFonts w:ascii="Cambria" w:hAnsi="Cambria"/>
          <w:b w:val="0"/>
          <w:i w:val="0"/>
          <w:color w:val="000000"/>
          <w:sz w:val="22"/>
        </w:rPr>
        <w:t>The DoD award of up to $10 million for scandium supply-chain work matters, the Elk Creek mine portal has started construction, and the new Traxys term sheet would place the remaining planned output under marketing / offtake coverage for the first ten years if definitive agreements and project finance follow.</w:t>
      </w:r>
    </w:p>
    <w:p>
      <w:pPr>
        <w:pStyle w:val="SubheadingBlue"/>
        <w:spacing w:before="0" w:after="40" w:line="276" w:lineRule="auto"/>
      </w:pPr>
      <w:r>
        <w:rPr>
          <w:rFonts w:ascii="Cambria" w:hAnsi="Cambria"/>
          <w:b/>
          <w:i w:val="0"/>
          <w:color w:val="2B5797"/>
          <w:sz w:val="26"/>
        </w:rPr>
        <w:t>Company fundamentals to monitor</w:t>
      </w:r>
    </w:p>
    <w:p>
      <w:pPr>
        <w:spacing w:before="0" w:after="40" w:line="278" w:lineRule="auto"/>
        <w:ind w:left="173" w:hanging="86"/>
      </w:pPr>
      <w:r>
        <w:rPr>
          <w:rFonts w:ascii="Cambria" w:hAnsi="Cambria"/>
          <w:b w:val="0"/>
          <w:i w:val="0"/>
          <w:color w:val="000000"/>
          <w:sz w:val="22"/>
        </w:rPr>
        <w:t xml:space="preserve">• </w:t>
      </w:r>
      <w:r>
        <w:rPr>
          <w:rFonts w:ascii="Cambria" w:hAnsi="Cambria"/>
          <w:b w:val="0"/>
          <w:i w:val="0"/>
          <w:color w:val="000000"/>
          <w:sz w:val="22"/>
        </w:rPr>
        <w:t>This is a financing-led rerating story rather than an earnings story today.</w:t>
      </w:r>
    </w:p>
    <w:p>
      <w:pPr>
        <w:spacing w:before="0" w:after="40" w:line="278" w:lineRule="auto"/>
        <w:ind w:left="173" w:hanging="86"/>
      </w:pPr>
      <w:r>
        <w:rPr>
          <w:rFonts w:ascii="Cambria" w:hAnsi="Cambria"/>
          <w:b w:val="0"/>
          <w:i w:val="0"/>
          <w:color w:val="000000"/>
          <w:sz w:val="22"/>
        </w:rPr>
        <w:t xml:space="preserve">• </w:t>
      </w:r>
      <w:r>
        <w:rPr>
          <w:rFonts w:ascii="Cambria" w:hAnsi="Cambria"/>
          <w:b w:val="0"/>
          <w:i w:val="0"/>
          <w:color w:val="000000"/>
          <w:sz w:val="22"/>
        </w:rPr>
        <w:t>Product diversity can help long-term economics, but it also makes the project harder for the market to value simply.</w:t>
      </w:r>
    </w:p>
    <w:p>
      <w:pPr>
        <w:spacing w:before="0" w:after="40" w:line="278" w:lineRule="auto"/>
        <w:ind w:left="173" w:hanging="86"/>
      </w:pPr>
      <w:r>
        <w:rPr>
          <w:rFonts w:ascii="Cambria" w:hAnsi="Cambria"/>
          <w:b w:val="0"/>
          <w:i w:val="0"/>
          <w:color w:val="000000"/>
          <w:sz w:val="22"/>
        </w:rPr>
        <w:t xml:space="preserve">• </w:t>
      </w:r>
      <w:r>
        <w:rPr>
          <w:rFonts w:ascii="Cambria" w:hAnsi="Cambria"/>
          <w:b w:val="0"/>
          <w:i w:val="0"/>
          <w:color w:val="000000"/>
          <w:sz w:val="22"/>
        </w:rPr>
        <w:t>The stock has torque because relatively modest improvements in financing confidence can change the market's view materially.</w:t>
      </w:r>
    </w:p>
    <w:p>
      <w:pPr>
        <w:pStyle w:val="SubheadingBlue"/>
        <w:spacing w:before="0" w:after="80" w:line="276" w:lineRule="auto"/>
      </w:pPr>
      <w:r>
        <w:rPr>
          <w:rFonts w:ascii="Cambria" w:hAnsi="Cambria"/>
          <w:b/>
          <w:i w:val="0"/>
          <w:color w:val="2B5797"/>
          <w:sz w:val="26"/>
        </w:rPr>
        <w:t>Entry zones and dealing discipline</w:t>
      </w:r>
    </w:p>
    <w:tbl>
      <w:tblPr>
        <w:tblW w:type="auto" w:w="0"/>
        <w:jc w:val="left"/>
        <w:tblLayout w:type="fixed"/>
        <w:tblLook w:firstColumn="1" w:firstRow="1" w:lastColumn="0" w:lastRow="0" w:noHBand="0" w:noVBand="1" w:val="04A0"/>
      </w:tblPr>
      <w:tblGrid>
        <w:gridCol w:w="4997"/>
        <w:gridCol w:w="4997"/>
      </w:tblGrid>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Accumulation zone</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$4.80-$5.30</w:t>
            </w:r>
          </w:p>
        </w:tc>
      </w:tr>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Better value zone</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$4.00-$4.70</w:t>
            </w:r>
          </w:p>
        </w:tc>
      </w:tr>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Thesis break / hard caution level</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Below $3.60 if financing momentum stalls or the Traxys pathway weakens</w:t>
            </w:r>
          </w:p>
        </w:tc>
      </w:tr>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Suggested approach</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Position small and only add as financing, offtake and construction de-risking become more concrete.</w:t>
            </w:r>
          </w:p>
        </w:tc>
      </w:tr>
    </w:tbl>
    <w:p/>
    <w:p>
      <w:pPr>
        <w:pStyle w:val="SubheadingBlue"/>
        <w:spacing w:before="0" w:after="80" w:line="276" w:lineRule="auto"/>
      </w:pPr>
      <w:r>
        <w:rPr>
          <w:rFonts w:ascii="Cambria" w:hAnsi="Cambria"/>
          <w:b/>
          <w:i w:val="0"/>
          <w:color w:val="2B5797"/>
          <w:sz w:val="26"/>
        </w:rPr>
        <w:t>Catalysts and risks</w:t>
      </w:r>
    </w:p>
    <w:tbl>
      <w:tblPr>
        <w:tblW w:type="auto" w:w="0"/>
        <w:jc w:val="left"/>
        <w:tblLayout w:type="fixed"/>
        <w:tblLook w:firstColumn="1" w:firstRow="1" w:lastColumn="0" w:lastRow="0" w:noHBand="0" w:noVBand="1" w:val="04A0"/>
      </w:tblPr>
      <w:tblGrid>
        <w:gridCol w:w="4997"/>
        <w:gridCol w:w="4997"/>
      </w:tblGrid>
      <w:tr>
        <w:tc>
          <w:tcPr>
            <w:tcW w:type="dxa" w:w="5400"/>
            <w:shd w:fill="EAF3FB"/>
            <w:vAlign w:val="center"/>
            <w:tcMar>
              <w:top w:w="90" w:type="dxa"/>
              <w:start w:w="110" w:type="dxa"/>
              <w:bottom w:w="9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Upside catalysts</w:t>
            </w:r>
          </w:p>
        </w:tc>
        <w:tc>
          <w:tcPr>
            <w:tcW w:type="dxa" w:w="5400"/>
            <w:shd w:fill="EAF3FB"/>
            <w:vAlign w:val="center"/>
            <w:tcMar>
              <w:top w:w="90" w:type="dxa"/>
              <w:start w:w="110" w:type="dxa"/>
              <w:bottom w:w="9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Principal risks</w:t>
            </w:r>
          </w:p>
        </w:tc>
      </w:tr>
      <w:tr>
        <w:tc>
          <w:tcPr>
            <w:tcW w:type="dxa" w:w="5400"/>
            <w:shd w:fill="F5F7FA"/>
            <w:tcBorders>
              <w:top w:val="single" w:sz="0" w:space="0" w:color="FFFFFF"/>
              <w:left w:val="single" w:sz="0" w:space="0" w:color="FFFFFF"/>
              <w:bottom w:val="single" w:sz="0" w:space="0" w:color="FFFFFF"/>
              <w:right w:val="single" w:sz="0" w:space="0" w:color="FFFFFF"/>
            </w:tcBorders>
            <w:tcMar>
              <w:top w:w="110" w:type="dxa"/>
              <w:start w:w="110" w:type="dxa"/>
              <w:bottom w:w="110" w:type="dxa"/>
              <w:end w:w="110" w:type="dxa"/>
            </w:tcMar>
          </w:tcPr>
          <w:p>
            <w:pPr>
              <w:spacing w:before="0" w:after="40" w:line="274" w:lineRule="auto"/>
              <w:ind w:left="173" w:hanging="86"/>
            </w:pPr>
            <w:r/>
            <w:r>
              <w:rPr>
                <w:rFonts w:ascii="Cambria" w:hAnsi="Cambria"/>
                <w:b w:val="0"/>
                <w:i w:val="0"/>
                <w:color w:val="000000"/>
                <w:sz w:val="22"/>
              </w:rPr>
              <w:t xml:space="preserve">• </w:t>
            </w:r>
            <w:r>
              <w:rPr>
                <w:rFonts w:ascii="Cambria" w:hAnsi="Cambria"/>
                <w:b w:val="0"/>
                <w:i w:val="0"/>
                <w:color w:val="000000"/>
                <w:sz w:val="22"/>
              </w:rPr>
              <w:t>Definitive offtake agreements and potential strategic equity from Traxys</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Further Pentagon-backed scandium work and industrial validation</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A clearer route to full project financing</w:t>
            </w:r>
          </w:p>
        </w:tc>
        <w:tc>
          <w:tcPr>
            <w:tcW w:type="dxa" w:w="5400"/>
            <w:shd w:fill="F5F7FA"/>
            <w:tcBorders>
              <w:top w:val="single" w:sz="0" w:space="0" w:color="FFFFFF"/>
              <w:left w:val="single" w:sz="0" w:space="0" w:color="FFFFFF"/>
              <w:bottom w:val="single" w:sz="0" w:space="0" w:color="FFFFFF"/>
              <w:right w:val="single" w:sz="0" w:space="0" w:color="FFFFFF"/>
            </w:tcBorders>
            <w:tcMar>
              <w:top w:w="110" w:type="dxa"/>
              <w:start w:w="110" w:type="dxa"/>
              <w:bottom w:w="110" w:type="dxa"/>
              <w:end w:w="110" w:type="dxa"/>
            </w:tcMar>
          </w:tcPr>
          <w:p>
            <w:pPr>
              <w:spacing w:before="0" w:after="40" w:line="274" w:lineRule="auto"/>
              <w:ind w:left="173" w:hanging="86"/>
            </w:pPr>
            <w:r/>
            <w:r>
              <w:rPr>
                <w:rFonts w:ascii="Cambria" w:hAnsi="Cambria"/>
                <w:b w:val="0"/>
                <w:i w:val="0"/>
                <w:color w:val="000000"/>
                <w:sz w:val="22"/>
              </w:rPr>
              <w:t xml:space="preserve">• </w:t>
            </w:r>
            <w:r>
              <w:rPr>
                <w:rFonts w:ascii="Cambria" w:hAnsi="Cambria"/>
                <w:b w:val="0"/>
                <w:i w:val="0"/>
                <w:color w:val="000000"/>
                <w:sz w:val="22"/>
              </w:rPr>
              <w:t>Offtake announcement is non-binding at present</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High capital intensity and financing dependency</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Project complexity can delay timing and dilute shareholders</w:t>
            </w:r>
          </w:p>
        </w:tc>
      </w:tr>
    </w:tbl>
    <w:p/>
    <w:p>
      <w:pPr>
        <w:pStyle w:val="HeadingBlue"/>
        <w:spacing w:before="120" w:after="20" w:line="276" w:lineRule="auto"/>
      </w:pPr>
      <w:r>
        <w:rPr>
          <w:rFonts w:ascii="Cambria" w:hAnsi="Cambria"/>
          <w:b/>
          <w:i w:val="0"/>
          <w:color w:val="2B5797"/>
          <w:sz w:val="36"/>
        </w:rPr>
        <w:t>6. United States Antimony (UAMY)</w:t>
      </w:r>
    </w:p>
    <w:p>
      <w:pPr>
        <w:pStyle w:val="SubheadingBlue"/>
        <w:spacing w:before="0" w:after="160" w:line="276" w:lineRule="auto"/>
      </w:pPr>
      <w:r>
        <w:rPr>
          <w:rFonts w:ascii="Cambria" w:hAnsi="Cambria"/>
          <w:b/>
          <w:i w:val="0"/>
          <w:color w:val="2B5797"/>
          <w:sz w:val="28"/>
        </w:rPr>
        <w:t>Processor satellite with contract support</w:t>
      </w:r>
    </w:p>
    <w:tbl>
      <w:tblPr>
        <w:tblW w:type="auto" w:w="0"/>
        <w:jc w:val="left"/>
        <w:tblLayout w:type="fixed"/>
        <w:tblLook w:firstColumn="1" w:firstRow="1" w:lastColumn="0" w:lastRow="0" w:noHBand="0" w:noVBand="1" w:val="04A0"/>
      </w:tblPr>
      <w:tblGrid>
        <w:gridCol w:w="2498"/>
        <w:gridCol w:w="2498"/>
        <w:gridCol w:w="2498"/>
        <w:gridCol w:w="2498"/>
      </w:tblGrid>
      <w:tr>
        <w:tc>
          <w:tcPr>
            <w:tcW w:type="dxa" w:w="1800"/>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Current price</w:t>
            </w:r>
          </w:p>
        </w:tc>
        <w:tc>
          <w:tcPr>
            <w:tcW w:type="dxa" w:w="3672"/>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Role in chain</w:t>
            </w:r>
          </w:p>
        </w:tc>
        <w:tc>
          <w:tcPr>
            <w:tcW w:type="dxa" w:w="2448"/>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Stage</w:t>
            </w:r>
          </w:p>
        </w:tc>
        <w:tc>
          <w:tcPr>
            <w:tcW w:type="dxa" w:w="2088"/>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Conviction</w:t>
            </w:r>
          </w:p>
        </w:tc>
      </w:tr>
      <w:tr>
        <w:tc>
          <w:tcPr>
            <w:tcW w:type="dxa" w:w="1800"/>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$9.29</w:t>
            </w:r>
          </w:p>
        </w:tc>
        <w:tc>
          <w:tcPr>
            <w:tcW w:type="dxa" w:w="36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Antimony refining / stockpile supplier</w:t>
            </w:r>
          </w:p>
        </w:tc>
        <w:tc>
          <w:tcPr>
            <w:tcW w:type="dxa" w:w="2448"/>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Operating processor</w:t>
            </w:r>
          </w:p>
        </w:tc>
        <w:tc>
          <w:tcPr>
            <w:tcW w:type="dxa" w:w="2088"/>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Medium</w:t>
            </w:r>
          </w:p>
        </w:tc>
      </w:tr>
    </w:tbl>
    <w:p/>
    <w:p>
      <w:pPr>
        <w:pStyle w:val="SubheadingBlue"/>
        <w:spacing w:before="0" w:after="60" w:line="276" w:lineRule="auto"/>
      </w:pPr>
      <w:r>
        <w:rPr>
          <w:rFonts w:ascii="Cambria" w:hAnsi="Cambria"/>
          <w:b/>
          <w:i w:val="0"/>
          <w:color w:val="2B5797"/>
          <w:sz w:val="26"/>
        </w:rPr>
        <w:t>Why it benefits from U.S. supply-chain de-risking</w:t>
      </w:r>
    </w:p>
    <w:p>
      <w:pPr>
        <w:spacing w:before="0" w:after="120" w:line="276" w:lineRule="auto"/>
      </w:pPr>
      <w:r>
        <w:rPr>
          <w:rFonts w:ascii="Cambria" w:hAnsi="Cambria"/>
          <w:b w:val="0"/>
          <w:i w:val="0"/>
          <w:color w:val="000000"/>
          <w:sz w:val="22"/>
        </w:rPr>
        <w:t>UAMY is not the cleanest asset-quality name, but it has something the market respects in this theme: immediate relevance. It is a processor / refiner with direct exposure to U.S. defence-stockpile demand rather than only a future mine plan.</w:t>
      </w:r>
    </w:p>
    <w:p>
      <w:pPr>
        <w:pStyle w:val="SubheadingBlue"/>
        <w:spacing w:before="0" w:after="60" w:line="276" w:lineRule="auto"/>
      </w:pPr>
      <w:r>
        <w:rPr>
          <w:rFonts w:ascii="Cambria" w:hAnsi="Cambria"/>
          <w:b/>
          <w:i w:val="0"/>
          <w:color w:val="2B5797"/>
          <w:sz w:val="26"/>
        </w:rPr>
        <w:t>Why it makes the watchlist now</w:t>
      </w:r>
    </w:p>
    <w:p>
      <w:pPr>
        <w:spacing w:before="0" w:after="120" w:line="276" w:lineRule="auto"/>
      </w:pPr>
      <w:r>
        <w:rPr>
          <w:rFonts w:ascii="Cambria" w:hAnsi="Cambria"/>
          <w:b w:val="0"/>
          <w:i w:val="0"/>
          <w:color w:val="000000"/>
          <w:sz w:val="22"/>
        </w:rPr>
        <w:t>The company won a sole-source, five-year DLA contract worth up to $245 million to supply antimony ingots for the defence stockpile. Reuters also described it as operating North America's only two antimony smelters, which gives it strategic scarcity value even if the business remains small and volatile.</w:t>
      </w:r>
    </w:p>
    <w:p>
      <w:pPr>
        <w:pStyle w:val="SubheadingBlue"/>
        <w:spacing w:before="0" w:after="40" w:line="276" w:lineRule="auto"/>
      </w:pPr>
      <w:r>
        <w:rPr>
          <w:rFonts w:ascii="Cambria" w:hAnsi="Cambria"/>
          <w:b/>
          <w:i w:val="0"/>
          <w:color w:val="2B5797"/>
          <w:sz w:val="26"/>
        </w:rPr>
        <w:t>Company fundamentals to monitor</w:t>
      </w:r>
    </w:p>
    <w:p>
      <w:pPr>
        <w:spacing w:before="0" w:after="40" w:line="278" w:lineRule="auto"/>
        <w:ind w:left="173" w:hanging="86"/>
      </w:pPr>
      <w:r>
        <w:rPr>
          <w:rFonts w:ascii="Cambria" w:hAnsi="Cambria"/>
          <w:b w:val="0"/>
          <w:i w:val="0"/>
          <w:color w:val="000000"/>
          <w:sz w:val="22"/>
        </w:rPr>
        <w:t xml:space="preserve">• </w:t>
      </w:r>
      <w:r>
        <w:rPr>
          <w:rFonts w:ascii="Cambria" w:hAnsi="Cambria"/>
          <w:b w:val="0"/>
          <w:i w:val="0"/>
          <w:color w:val="000000"/>
          <w:sz w:val="22"/>
        </w:rPr>
        <w:t>This is a micro-cap processor with more immediate revenue relevance than many junior miners.</w:t>
      </w:r>
    </w:p>
    <w:p>
      <w:pPr>
        <w:spacing w:before="0" w:after="40" w:line="278" w:lineRule="auto"/>
        <w:ind w:left="173" w:hanging="86"/>
      </w:pPr>
      <w:r>
        <w:rPr>
          <w:rFonts w:ascii="Cambria" w:hAnsi="Cambria"/>
          <w:b w:val="0"/>
          <w:i w:val="0"/>
          <w:color w:val="000000"/>
          <w:sz w:val="22"/>
        </w:rPr>
        <w:t xml:space="preserve">• </w:t>
      </w:r>
      <w:r>
        <w:rPr>
          <w:rFonts w:ascii="Cambria" w:hAnsi="Cambria"/>
          <w:b w:val="0"/>
          <w:i w:val="0"/>
          <w:color w:val="000000"/>
          <w:sz w:val="22"/>
        </w:rPr>
        <w:t>The market will care about contract execution, feedstock availability and margin capture more than broad 'critical minerals' rhetoric.</w:t>
      </w:r>
    </w:p>
    <w:p>
      <w:pPr>
        <w:spacing w:before="0" w:after="40" w:line="278" w:lineRule="auto"/>
        <w:ind w:left="173" w:hanging="86"/>
      </w:pPr>
      <w:r>
        <w:rPr>
          <w:rFonts w:ascii="Cambria" w:hAnsi="Cambria"/>
          <w:b w:val="0"/>
          <w:i w:val="0"/>
          <w:color w:val="000000"/>
          <w:sz w:val="22"/>
        </w:rPr>
        <w:t xml:space="preserve">• </w:t>
      </w:r>
      <w:r>
        <w:rPr>
          <w:rFonts w:ascii="Cambria" w:hAnsi="Cambria"/>
          <w:b w:val="0"/>
          <w:i w:val="0"/>
          <w:color w:val="000000"/>
          <w:sz w:val="22"/>
        </w:rPr>
        <w:t>Because it is small and volatile, the stock can overshoot both positively and negatively around policy or contract news.</w:t>
      </w:r>
    </w:p>
    <w:p>
      <w:pPr>
        <w:pStyle w:val="SubheadingBlue"/>
        <w:spacing w:before="0" w:after="80" w:line="276" w:lineRule="auto"/>
      </w:pPr>
      <w:r>
        <w:rPr>
          <w:rFonts w:ascii="Cambria" w:hAnsi="Cambria"/>
          <w:b/>
          <w:i w:val="0"/>
          <w:color w:val="2B5797"/>
          <w:sz w:val="26"/>
        </w:rPr>
        <w:t>Entry zones and dealing discipline</w:t>
      </w:r>
    </w:p>
    <w:tbl>
      <w:tblPr>
        <w:tblW w:type="auto" w:w="0"/>
        <w:jc w:val="left"/>
        <w:tblLayout w:type="fixed"/>
        <w:tblLook w:firstColumn="1" w:firstRow="1" w:lastColumn="0" w:lastRow="0" w:noHBand="0" w:noVBand="1" w:val="04A0"/>
      </w:tblPr>
      <w:tblGrid>
        <w:gridCol w:w="4997"/>
        <w:gridCol w:w="4997"/>
      </w:tblGrid>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Accumulation zone</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$8.50-$9.30</w:t>
            </w:r>
          </w:p>
        </w:tc>
      </w:tr>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Better value zone</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$7.00-$8.20</w:t>
            </w:r>
          </w:p>
        </w:tc>
      </w:tr>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Thesis break / hard caution level</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Below $6.40 if contract execution falters or feedstock becomes constrained</w:t>
            </w:r>
          </w:p>
        </w:tc>
      </w:tr>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Suggested approach</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Treat as a satellite position only; size modestly because volatility is structural.</w:t>
            </w:r>
          </w:p>
        </w:tc>
      </w:tr>
    </w:tbl>
    <w:p/>
    <w:p>
      <w:pPr>
        <w:pStyle w:val="SubheadingBlue"/>
        <w:spacing w:before="0" w:after="80" w:line="276" w:lineRule="auto"/>
      </w:pPr>
      <w:r>
        <w:rPr>
          <w:rFonts w:ascii="Cambria" w:hAnsi="Cambria"/>
          <w:b/>
          <w:i w:val="0"/>
          <w:color w:val="2B5797"/>
          <w:sz w:val="26"/>
        </w:rPr>
        <w:t>Catalysts and risks</w:t>
      </w:r>
    </w:p>
    <w:tbl>
      <w:tblPr>
        <w:tblW w:type="auto" w:w="0"/>
        <w:jc w:val="left"/>
        <w:tblLayout w:type="fixed"/>
        <w:tblLook w:firstColumn="1" w:firstRow="1" w:lastColumn="0" w:lastRow="0" w:noHBand="0" w:noVBand="1" w:val="04A0"/>
      </w:tblPr>
      <w:tblGrid>
        <w:gridCol w:w="4997"/>
        <w:gridCol w:w="4997"/>
      </w:tblGrid>
      <w:tr>
        <w:tc>
          <w:tcPr>
            <w:tcW w:type="dxa" w:w="5400"/>
            <w:shd w:fill="EAF3FB"/>
            <w:vAlign w:val="center"/>
            <w:tcMar>
              <w:top w:w="90" w:type="dxa"/>
              <w:start w:w="110" w:type="dxa"/>
              <w:bottom w:w="9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Upside catalysts</w:t>
            </w:r>
          </w:p>
        </w:tc>
        <w:tc>
          <w:tcPr>
            <w:tcW w:type="dxa" w:w="5400"/>
            <w:shd w:fill="EAF3FB"/>
            <w:vAlign w:val="center"/>
            <w:tcMar>
              <w:top w:w="90" w:type="dxa"/>
              <w:start w:w="110" w:type="dxa"/>
              <w:bottom w:w="9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Principal risks</w:t>
            </w:r>
          </w:p>
        </w:tc>
      </w:tr>
      <w:tr>
        <w:tc>
          <w:tcPr>
            <w:tcW w:type="dxa" w:w="5400"/>
            <w:shd w:fill="F5F7FA"/>
            <w:tcBorders>
              <w:top w:val="single" w:sz="0" w:space="0" w:color="FFFFFF"/>
              <w:left w:val="single" w:sz="0" w:space="0" w:color="FFFFFF"/>
              <w:bottom w:val="single" w:sz="0" w:space="0" w:color="FFFFFF"/>
              <w:right w:val="single" w:sz="0" w:space="0" w:color="FFFFFF"/>
            </w:tcBorders>
            <w:tcMar>
              <w:top w:w="110" w:type="dxa"/>
              <w:start w:w="110" w:type="dxa"/>
              <w:bottom w:w="110" w:type="dxa"/>
              <w:end w:w="110" w:type="dxa"/>
            </w:tcMar>
          </w:tcPr>
          <w:p>
            <w:pPr>
              <w:spacing w:before="0" w:after="40" w:line="274" w:lineRule="auto"/>
              <w:ind w:left="173" w:hanging="86"/>
            </w:pPr>
            <w:r/>
            <w:r>
              <w:rPr>
                <w:rFonts w:ascii="Cambria" w:hAnsi="Cambria"/>
                <w:b w:val="0"/>
                <w:i w:val="0"/>
                <w:color w:val="000000"/>
                <w:sz w:val="22"/>
              </w:rPr>
              <w:t xml:space="preserve">• </w:t>
            </w:r>
            <w:r>
              <w:rPr>
                <w:rFonts w:ascii="Cambria" w:hAnsi="Cambria"/>
                <w:b w:val="0"/>
                <w:i w:val="0"/>
                <w:color w:val="000000"/>
                <w:sz w:val="22"/>
              </w:rPr>
              <w:t>Visible revenue capture from the DLA contract</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More U.S. defence procurement or stockpile replenishment activity</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Any evidence of feedstock security and improved operating leverage</w:t>
            </w:r>
          </w:p>
        </w:tc>
        <w:tc>
          <w:tcPr>
            <w:tcW w:type="dxa" w:w="5400"/>
            <w:shd w:fill="F5F7FA"/>
            <w:tcBorders>
              <w:top w:val="single" w:sz="0" w:space="0" w:color="FFFFFF"/>
              <w:left w:val="single" w:sz="0" w:space="0" w:color="FFFFFF"/>
              <w:bottom w:val="single" w:sz="0" w:space="0" w:color="FFFFFF"/>
              <w:right w:val="single" w:sz="0" w:space="0" w:color="FFFFFF"/>
            </w:tcBorders>
            <w:tcMar>
              <w:top w:w="110" w:type="dxa"/>
              <w:start w:w="110" w:type="dxa"/>
              <w:bottom w:w="110" w:type="dxa"/>
              <w:end w:w="110" w:type="dxa"/>
            </w:tcMar>
          </w:tcPr>
          <w:p>
            <w:pPr>
              <w:spacing w:before="0" w:after="40" w:line="274" w:lineRule="auto"/>
              <w:ind w:left="173" w:hanging="86"/>
            </w:pPr>
            <w:r/>
            <w:r>
              <w:rPr>
                <w:rFonts w:ascii="Cambria" w:hAnsi="Cambria"/>
                <w:b w:val="0"/>
                <w:i w:val="0"/>
                <w:color w:val="000000"/>
                <w:sz w:val="22"/>
              </w:rPr>
              <w:t xml:space="preserve">• </w:t>
            </w:r>
            <w:r>
              <w:rPr>
                <w:rFonts w:ascii="Cambria" w:hAnsi="Cambria"/>
                <w:b w:val="0"/>
                <w:i w:val="0"/>
                <w:color w:val="000000"/>
                <w:sz w:val="22"/>
              </w:rPr>
              <w:t>Micro-cap volatility and concentrated operating footprint</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Feedstock sourcing and working-capital pressure</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Operational execution risk despite a strong strategic narrative</w:t>
            </w:r>
          </w:p>
        </w:tc>
      </w:tr>
    </w:tbl>
    <w:p/>
    <w:p>
      <w:pPr>
        <w:pStyle w:val="HeadingBlue"/>
        <w:spacing w:before="120" w:after="20" w:line="276" w:lineRule="auto"/>
      </w:pPr>
      <w:r>
        <w:rPr>
          <w:rFonts w:ascii="Cambria" w:hAnsi="Cambria"/>
          <w:b/>
          <w:i w:val="0"/>
          <w:color w:val="2B5797"/>
          <w:sz w:val="36"/>
        </w:rPr>
        <w:t>7. Critical Metals (CRML)</w:t>
      </w:r>
    </w:p>
    <w:p>
      <w:pPr>
        <w:pStyle w:val="SubheadingBlue"/>
        <w:spacing w:before="0" w:after="160" w:line="276" w:lineRule="auto"/>
      </w:pPr>
      <w:r>
        <w:rPr>
          <w:rFonts w:ascii="Cambria" w:hAnsi="Cambria"/>
          <w:b/>
          <w:i w:val="0"/>
          <w:color w:val="2B5797"/>
          <w:sz w:val="28"/>
        </w:rPr>
        <w:t>Higher-risk feedstock / offtake story</w:t>
      </w:r>
    </w:p>
    <w:tbl>
      <w:tblPr>
        <w:tblW w:type="auto" w:w="0"/>
        <w:jc w:val="left"/>
        <w:tblLayout w:type="fixed"/>
        <w:tblLook w:firstColumn="1" w:firstRow="1" w:lastColumn="0" w:lastRow="0" w:noHBand="0" w:noVBand="1" w:val="04A0"/>
      </w:tblPr>
      <w:tblGrid>
        <w:gridCol w:w="2498"/>
        <w:gridCol w:w="2498"/>
        <w:gridCol w:w="2498"/>
        <w:gridCol w:w="2498"/>
      </w:tblGrid>
      <w:tr>
        <w:tc>
          <w:tcPr>
            <w:tcW w:type="dxa" w:w="1800"/>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Current price</w:t>
            </w:r>
          </w:p>
        </w:tc>
        <w:tc>
          <w:tcPr>
            <w:tcW w:type="dxa" w:w="3672"/>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Role in chain</w:t>
            </w:r>
          </w:p>
        </w:tc>
        <w:tc>
          <w:tcPr>
            <w:tcW w:type="dxa" w:w="2448"/>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Stage</w:t>
            </w:r>
          </w:p>
        </w:tc>
        <w:tc>
          <w:tcPr>
            <w:tcW w:type="dxa" w:w="2088"/>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Conviction</w:t>
            </w:r>
          </w:p>
        </w:tc>
      </w:tr>
      <w:tr>
        <w:tc>
          <w:tcPr>
            <w:tcW w:type="dxa" w:w="1800"/>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$9.01</w:t>
            </w:r>
          </w:p>
        </w:tc>
        <w:tc>
          <w:tcPr>
            <w:tcW w:type="dxa" w:w="36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Heavy rare earth concentrate source</w:t>
            </w:r>
          </w:p>
        </w:tc>
        <w:tc>
          <w:tcPr>
            <w:tcW w:type="dxa" w:w="2448"/>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Accelerating developer</w:t>
            </w:r>
          </w:p>
        </w:tc>
        <w:tc>
          <w:tcPr>
            <w:tcW w:type="dxa" w:w="2088"/>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Medium</w:t>
            </w:r>
          </w:p>
        </w:tc>
      </w:tr>
    </w:tbl>
    <w:p/>
    <w:p>
      <w:pPr>
        <w:pStyle w:val="SubheadingBlue"/>
        <w:spacing w:before="0" w:after="60" w:line="276" w:lineRule="auto"/>
      </w:pPr>
      <w:r>
        <w:rPr>
          <w:rFonts w:ascii="Cambria" w:hAnsi="Cambria"/>
          <w:b/>
          <w:i w:val="0"/>
          <w:color w:val="2B5797"/>
          <w:sz w:val="26"/>
        </w:rPr>
        <w:t>Why it benefits from U.S. supply-chain de-risking</w:t>
      </w:r>
    </w:p>
    <w:p>
      <w:pPr>
        <w:spacing w:before="0" w:after="120" w:line="276" w:lineRule="auto"/>
      </w:pPr>
      <w:r>
        <w:rPr>
          <w:rFonts w:ascii="Cambria" w:hAnsi="Cambria"/>
          <w:b w:val="0"/>
          <w:i w:val="0"/>
          <w:color w:val="000000"/>
          <w:sz w:val="22"/>
        </w:rPr>
        <w:t>CRML is included because heavy rare earth feedstock is scarce and Tanbreez remains strategically important for the West. It is not a pure 'domestic U.S.' story, but it is a U.S.-aligned answer to Chinese dominance in heavy rare earth supply.</w:t>
      </w:r>
    </w:p>
    <w:p>
      <w:pPr>
        <w:pStyle w:val="SubheadingBlue"/>
        <w:spacing w:before="0" w:after="60" w:line="276" w:lineRule="auto"/>
      </w:pPr>
      <w:r>
        <w:rPr>
          <w:rFonts w:ascii="Cambria" w:hAnsi="Cambria"/>
          <w:b/>
          <w:i w:val="0"/>
          <w:color w:val="2B5797"/>
          <w:sz w:val="26"/>
        </w:rPr>
        <w:t>Why it makes the watchlist now</w:t>
      </w:r>
    </w:p>
    <w:p>
      <w:pPr>
        <w:spacing w:before="0" w:after="120" w:line="276" w:lineRule="auto"/>
      </w:pPr>
      <w:r>
        <w:rPr>
          <w:rFonts w:ascii="Cambria" w:hAnsi="Cambria"/>
          <w:b w:val="0"/>
          <w:i w:val="0"/>
          <w:color w:val="000000"/>
          <w:sz w:val="22"/>
        </w:rPr>
        <w:t>Reuters reported a $30 million acceleration programme for Tanbreez, prior U.S. EXIM interest for up to $120 million, and offtake progress with U.S.-linked customers. The key attraction is that heavy rare earth feedstock itself can become scarce enough to command strategic premiums if Western downstream processing scales up.</w:t>
      </w:r>
    </w:p>
    <w:p>
      <w:pPr>
        <w:pStyle w:val="SubheadingBlue"/>
        <w:spacing w:before="0" w:after="40" w:line="276" w:lineRule="auto"/>
      </w:pPr>
      <w:r>
        <w:rPr>
          <w:rFonts w:ascii="Cambria" w:hAnsi="Cambria"/>
          <w:b/>
          <w:i w:val="0"/>
          <w:color w:val="2B5797"/>
          <w:sz w:val="26"/>
        </w:rPr>
        <w:t>Company fundamentals to monitor</w:t>
      </w:r>
    </w:p>
    <w:p>
      <w:pPr>
        <w:spacing w:before="0" w:after="40" w:line="278" w:lineRule="auto"/>
        <w:ind w:left="173" w:hanging="86"/>
      </w:pPr>
      <w:r>
        <w:rPr>
          <w:rFonts w:ascii="Cambria" w:hAnsi="Cambria"/>
          <w:b w:val="0"/>
          <w:i w:val="0"/>
          <w:color w:val="000000"/>
          <w:sz w:val="22"/>
        </w:rPr>
        <w:t xml:space="preserve">• </w:t>
      </w:r>
      <w:r>
        <w:rPr>
          <w:rFonts w:ascii="Cambria" w:hAnsi="Cambria"/>
          <w:b w:val="0"/>
          <w:i w:val="0"/>
          <w:color w:val="000000"/>
          <w:sz w:val="22"/>
        </w:rPr>
        <w:t>This is still a development asset with geopolitical as well as execution risk.</w:t>
      </w:r>
    </w:p>
    <w:p>
      <w:pPr>
        <w:spacing w:before="0" w:after="40" w:line="278" w:lineRule="auto"/>
        <w:ind w:left="173" w:hanging="86"/>
      </w:pPr>
      <w:r>
        <w:rPr>
          <w:rFonts w:ascii="Cambria" w:hAnsi="Cambria"/>
          <w:b w:val="0"/>
          <w:i w:val="0"/>
          <w:color w:val="000000"/>
          <w:sz w:val="22"/>
        </w:rPr>
        <w:t xml:space="preserve">• </w:t>
      </w:r>
      <w:r>
        <w:rPr>
          <w:rFonts w:ascii="Cambria" w:hAnsi="Cambria"/>
          <w:b w:val="0"/>
          <w:i w:val="0"/>
          <w:color w:val="000000"/>
          <w:sz w:val="22"/>
        </w:rPr>
        <w:t>The project has strategic appeal because heavy rare earths are harder to replace than generic light rare earth narratives suggest.</w:t>
      </w:r>
    </w:p>
    <w:p>
      <w:pPr>
        <w:spacing w:before="0" w:after="40" w:line="278" w:lineRule="auto"/>
        <w:ind w:left="173" w:hanging="86"/>
      </w:pPr>
      <w:r>
        <w:rPr>
          <w:rFonts w:ascii="Cambria" w:hAnsi="Cambria"/>
          <w:b w:val="0"/>
          <w:i w:val="0"/>
          <w:color w:val="000000"/>
          <w:sz w:val="22"/>
        </w:rPr>
        <w:t xml:space="preserve">• </w:t>
      </w:r>
      <w:r>
        <w:rPr>
          <w:rFonts w:ascii="Cambria" w:hAnsi="Cambria"/>
          <w:b w:val="0"/>
          <w:i w:val="0"/>
          <w:color w:val="000000"/>
          <w:sz w:val="22"/>
        </w:rPr>
        <w:t>The market will reward CRML only if offtakes, finance and a realistic processing route continue to tighten.</w:t>
      </w:r>
    </w:p>
    <w:p>
      <w:pPr>
        <w:pStyle w:val="SubheadingBlue"/>
        <w:spacing w:before="0" w:after="80" w:line="276" w:lineRule="auto"/>
      </w:pPr>
      <w:r>
        <w:rPr>
          <w:rFonts w:ascii="Cambria" w:hAnsi="Cambria"/>
          <w:b/>
          <w:i w:val="0"/>
          <w:color w:val="2B5797"/>
          <w:sz w:val="26"/>
        </w:rPr>
        <w:t>Entry zones and dealing discipline</w:t>
      </w:r>
    </w:p>
    <w:tbl>
      <w:tblPr>
        <w:tblW w:type="auto" w:w="0"/>
        <w:jc w:val="left"/>
        <w:tblLayout w:type="fixed"/>
        <w:tblLook w:firstColumn="1" w:firstRow="1" w:lastColumn="0" w:lastRow="0" w:noHBand="0" w:noVBand="1" w:val="04A0"/>
      </w:tblPr>
      <w:tblGrid>
        <w:gridCol w:w="4997"/>
        <w:gridCol w:w="4997"/>
      </w:tblGrid>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Accumulation zone</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$8.20-$9.20</w:t>
            </w:r>
          </w:p>
        </w:tc>
      </w:tr>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Better value zone</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$6.80-$8.00</w:t>
            </w:r>
          </w:p>
        </w:tc>
      </w:tr>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Thesis break / hard caution level</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Below $6.30 if offtake momentum fades or Greenland / processing pathways deteriorate</w:t>
            </w:r>
          </w:p>
        </w:tc>
      </w:tr>
      <w:tr>
        <w:tc>
          <w:tcPr>
            <w:tcW w:type="dxa" w:w="5184"/>
            <w:shd w:fill="D9EAF7"/>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Suggested approach</w:t>
            </w:r>
          </w:p>
        </w:tc>
        <w:tc>
          <w:tcPr>
            <w:tcW w:type="dxa" w:w="5472"/>
            <w:vAlign w:val="center"/>
            <w:tcMar>
              <w:top w:w="110" w:type="dxa"/>
              <w:start w:w="110" w:type="dxa"/>
              <w:bottom w:w="11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val="0"/>
                <w:color w:val="000000"/>
                <w:sz w:val="22"/>
              </w:rPr>
              <w:t>Use only as a higher-risk feeder-stock name within a broader basket rather than as a core position.</w:t>
            </w:r>
          </w:p>
        </w:tc>
      </w:tr>
    </w:tbl>
    <w:p/>
    <w:p>
      <w:pPr>
        <w:pStyle w:val="SubheadingBlue"/>
        <w:spacing w:before="0" w:after="80" w:line="276" w:lineRule="auto"/>
      </w:pPr>
      <w:r>
        <w:rPr>
          <w:rFonts w:ascii="Cambria" w:hAnsi="Cambria"/>
          <w:b/>
          <w:i w:val="0"/>
          <w:color w:val="2B5797"/>
          <w:sz w:val="26"/>
        </w:rPr>
        <w:t>Catalysts and risks</w:t>
      </w:r>
    </w:p>
    <w:tbl>
      <w:tblPr>
        <w:tblW w:type="auto" w:w="0"/>
        <w:jc w:val="left"/>
        <w:tblLayout w:type="fixed"/>
        <w:tblLook w:firstColumn="1" w:firstRow="1" w:lastColumn="0" w:lastRow="0" w:noHBand="0" w:noVBand="1" w:val="04A0"/>
      </w:tblPr>
      <w:tblGrid>
        <w:gridCol w:w="4997"/>
        <w:gridCol w:w="4997"/>
      </w:tblGrid>
      <w:tr>
        <w:tc>
          <w:tcPr>
            <w:tcW w:type="dxa" w:w="5400"/>
            <w:shd w:fill="EAF3FB"/>
            <w:vAlign w:val="center"/>
            <w:tcMar>
              <w:top w:w="90" w:type="dxa"/>
              <w:start w:w="110" w:type="dxa"/>
              <w:bottom w:w="9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Upside catalysts</w:t>
            </w:r>
          </w:p>
        </w:tc>
        <w:tc>
          <w:tcPr>
            <w:tcW w:type="dxa" w:w="5400"/>
            <w:shd w:fill="EAF3FB"/>
            <w:vAlign w:val="center"/>
            <w:tcMar>
              <w:top w:w="90" w:type="dxa"/>
              <w:start w:w="110" w:type="dxa"/>
              <w:bottom w:w="90" w:type="dxa"/>
              <w:end w:w="110" w:type="dxa"/>
            </w:tcMar>
            <w:tcBorders>
              <w:top w:val="single" w:sz="0" w:space="0" w:color="FFFFFF"/>
              <w:left w:val="single" w:sz="0" w:space="0" w:color="FFFFFF"/>
              <w:bottom w:val="single" w:sz="0" w:space="0" w:color="FFFFFF"/>
              <w:right w:val="single" w:sz="0" w:space="0" w:color="FFFFFF"/>
            </w:tcBorders>
          </w:tcPr>
          <w:p>
            <w:pPr>
              <w:spacing w:before="0" w:after="0" w:line="269" w:lineRule="auto"/>
            </w:pPr>
            <w:r>
              <w:rPr>
                <w:rFonts w:ascii="Cambria" w:hAnsi="Cambria"/>
                <w:b/>
                <w:color w:val="2B5797"/>
                <w:sz w:val="22"/>
              </w:rPr>
              <w:t>Principal risks</w:t>
            </w:r>
          </w:p>
        </w:tc>
      </w:tr>
      <w:tr>
        <w:tc>
          <w:tcPr>
            <w:tcW w:type="dxa" w:w="5400"/>
            <w:shd w:fill="F5F7FA"/>
            <w:tcBorders>
              <w:top w:val="single" w:sz="0" w:space="0" w:color="FFFFFF"/>
              <w:left w:val="single" w:sz="0" w:space="0" w:color="FFFFFF"/>
              <w:bottom w:val="single" w:sz="0" w:space="0" w:color="FFFFFF"/>
              <w:right w:val="single" w:sz="0" w:space="0" w:color="FFFFFF"/>
            </w:tcBorders>
            <w:tcMar>
              <w:top w:w="110" w:type="dxa"/>
              <w:start w:w="110" w:type="dxa"/>
              <w:bottom w:w="110" w:type="dxa"/>
              <w:end w:w="110" w:type="dxa"/>
            </w:tcMar>
          </w:tcPr>
          <w:p>
            <w:pPr>
              <w:spacing w:before="0" w:after="40" w:line="274" w:lineRule="auto"/>
              <w:ind w:left="173" w:hanging="86"/>
            </w:pPr>
            <w:r/>
            <w:r>
              <w:rPr>
                <w:rFonts w:ascii="Cambria" w:hAnsi="Cambria"/>
                <w:b w:val="0"/>
                <w:i w:val="0"/>
                <w:color w:val="000000"/>
                <w:sz w:val="22"/>
              </w:rPr>
              <w:t xml:space="preserve">• </w:t>
            </w:r>
            <w:r>
              <w:rPr>
                <w:rFonts w:ascii="Cambria" w:hAnsi="Cambria"/>
                <w:b w:val="0"/>
                <w:i w:val="0"/>
                <w:color w:val="000000"/>
                <w:sz w:val="22"/>
              </w:rPr>
              <w:t>More offtake closure with U.S. and allied customers</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Concrete financing progress and strategic backing</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Recognition that Western downstream magnet plans need non-Chinese heavy rare earth feedstock</w:t>
            </w:r>
          </w:p>
        </w:tc>
        <w:tc>
          <w:tcPr>
            <w:tcW w:type="dxa" w:w="5400"/>
            <w:shd w:fill="F5F7FA"/>
            <w:tcBorders>
              <w:top w:val="single" w:sz="0" w:space="0" w:color="FFFFFF"/>
              <w:left w:val="single" w:sz="0" w:space="0" w:color="FFFFFF"/>
              <w:bottom w:val="single" w:sz="0" w:space="0" w:color="FFFFFF"/>
              <w:right w:val="single" w:sz="0" w:space="0" w:color="FFFFFF"/>
            </w:tcBorders>
            <w:tcMar>
              <w:top w:w="110" w:type="dxa"/>
              <w:start w:w="110" w:type="dxa"/>
              <w:bottom w:w="110" w:type="dxa"/>
              <w:end w:w="110" w:type="dxa"/>
            </w:tcMar>
          </w:tcPr>
          <w:p>
            <w:pPr>
              <w:spacing w:before="0" w:after="40" w:line="274" w:lineRule="auto"/>
              <w:ind w:left="173" w:hanging="86"/>
            </w:pPr>
            <w:r/>
            <w:r>
              <w:rPr>
                <w:rFonts w:ascii="Cambria" w:hAnsi="Cambria"/>
                <w:b w:val="0"/>
                <w:i w:val="0"/>
                <w:color w:val="000000"/>
                <w:sz w:val="22"/>
              </w:rPr>
              <w:t xml:space="preserve">• </w:t>
            </w:r>
            <w:r>
              <w:rPr>
                <w:rFonts w:ascii="Cambria" w:hAnsi="Cambria"/>
                <w:b w:val="0"/>
                <w:i w:val="0"/>
                <w:color w:val="000000"/>
                <w:sz w:val="22"/>
              </w:rPr>
              <w:t>Not a purely domestic asset, so policy support can be more complicated</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Greenland politics, permitting and logistics risk</w:t>
            </w:r>
          </w:p>
          <w:p>
            <w:pPr>
              <w:spacing w:before="0" w:after="40" w:line="274" w:lineRule="auto"/>
              <w:ind w:left="173" w:hanging="86"/>
            </w:pPr>
            <w:r>
              <w:rPr>
                <w:rFonts w:ascii="Cambria" w:hAnsi="Cambria"/>
                <w:b w:val="0"/>
                <w:i w:val="0"/>
                <w:color w:val="000000"/>
                <w:sz w:val="22"/>
              </w:rPr>
              <w:t xml:space="preserve">• </w:t>
            </w:r>
            <w:r>
              <w:rPr>
                <w:rFonts w:ascii="Cambria" w:hAnsi="Cambria"/>
                <w:b w:val="0"/>
                <w:i w:val="0"/>
                <w:color w:val="000000"/>
                <w:sz w:val="22"/>
              </w:rPr>
              <w:t>Project is still pre-cash-flow and depends on continued strategic investor interest</w:t>
            </w:r>
          </w:p>
        </w:tc>
      </w:tr>
    </w:tbl>
    <w:p/>
    <w:p>
      <w:pPr>
        <w:pStyle w:val="HeadingBlue"/>
        <w:spacing w:before="80" w:after="80" w:line="276" w:lineRule="auto"/>
      </w:pPr>
      <w:r>
        <w:rPr>
          <w:rFonts w:ascii="Cambria" w:hAnsi="Cambria"/>
          <w:b/>
          <w:i w:val="0"/>
          <w:color w:val="2B5797"/>
          <w:sz w:val="34"/>
        </w:rPr>
        <w:t>Secondary watch names</w:t>
      </w:r>
    </w:p>
    <w:p>
      <w:pPr>
        <w:spacing w:before="0" w:after="160" w:line="276" w:lineRule="auto"/>
      </w:pPr>
      <w:r>
        <w:rPr>
          <w:rFonts w:ascii="Cambria" w:hAnsi="Cambria"/>
          <w:b w:val="0"/>
          <w:i w:val="0"/>
          <w:color w:val="000000"/>
          <w:sz w:val="22"/>
        </w:rPr>
        <w:t>These are not in the ranked core list because of OTC / TSX-V listing, thinner liquidity or earlier-stage execution risk. They still matter strategically and may warrant follow-up work.</w:t>
      </w:r>
    </w:p>
    <w:tbl>
      <w:tblPr>
        <w:tblW w:type="auto" w:w="0"/>
        <w:jc w:val="left"/>
        <w:tblLayout w:type="fixed"/>
        <w:tblLook w:firstColumn="1" w:firstRow="1" w:lastColumn="0" w:lastRow="0" w:noHBand="0" w:noVBand="1" w:val="04A0"/>
      </w:tblPr>
      <w:tblGrid>
        <w:gridCol w:w="2498"/>
        <w:gridCol w:w="2498"/>
        <w:gridCol w:w="2498"/>
        <w:gridCol w:w="2498"/>
      </w:tblGrid>
      <w:tr>
        <w:tc>
          <w:tcPr>
            <w:tcW w:type="dxa" w:w="2232"/>
            <w:shd w:fill="2B5797"/>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pPr>
            <w:r>
              <w:rPr>
                <w:rFonts w:ascii="Cambria" w:hAnsi="Cambria"/>
                <w:b/>
                <w:color w:val="FFFFFF"/>
                <w:sz w:val="22"/>
              </w:rPr>
              <w:t>Name</w:t>
            </w:r>
          </w:p>
        </w:tc>
        <w:tc>
          <w:tcPr>
            <w:tcW w:type="dxa" w:w="1944"/>
            <w:shd w:fill="2B5797"/>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pPr>
            <w:r>
              <w:rPr>
                <w:rFonts w:ascii="Cambria" w:hAnsi="Cambria"/>
                <w:b/>
                <w:color w:val="FFFFFF"/>
                <w:sz w:val="22"/>
              </w:rPr>
              <w:t>Positioning</w:t>
            </w:r>
          </w:p>
        </w:tc>
        <w:tc>
          <w:tcPr>
            <w:tcW w:type="dxa" w:w="4464"/>
            <w:shd w:fill="2B5797"/>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pPr>
            <w:r>
              <w:rPr>
                <w:rFonts w:ascii="Cambria" w:hAnsi="Cambria"/>
                <w:b/>
                <w:color w:val="FFFFFF"/>
                <w:sz w:val="22"/>
              </w:rPr>
              <w:t>Why it matters</w:t>
            </w:r>
          </w:p>
        </w:tc>
        <w:tc>
          <w:tcPr>
            <w:tcW w:type="dxa" w:w="2520"/>
            <w:shd w:fill="2B5797"/>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pPr>
            <w:r>
              <w:rPr>
                <w:rFonts w:ascii="Cambria" w:hAnsi="Cambria"/>
                <w:b/>
                <w:color w:val="FFFFFF"/>
                <w:sz w:val="22"/>
              </w:rPr>
              <w:t>Trigger to upgrade</w:t>
            </w:r>
          </w:p>
        </w:tc>
      </w:tr>
      <w:tr>
        <w:tc>
          <w:tcPr>
            <w:tcW w:type="dxa" w:w="2232"/>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pPr>
            <w:r>
              <w:rPr>
                <w:rFonts w:ascii="Cambria" w:hAnsi="Cambria"/>
                <w:b/>
                <w:color w:val="2B5797"/>
                <w:sz w:val="21"/>
              </w:rPr>
              <w:t>Graphite One</w:t>
            </w:r>
          </w:p>
        </w:tc>
        <w:tc>
          <w:tcPr>
            <w:tcW w:type="dxa" w:w="1944"/>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pPr>
            <w:r>
              <w:rPr>
                <w:rFonts w:ascii="Cambria" w:hAnsi="Cambria"/>
                <w:b w:val="0"/>
                <w:color w:val="000000"/>
                <w:sz w:val="21"/>
              </w:rPr>
              <w:t>U.S. graphite / anode chain</w:t>
            </w:r>
          </w:p>
        </w:tc>
        <w:tc>
          <w:tcPr>
            <w:tcW w:type="dxa" w:w="4464"/>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pPr>
            <w:r>
              <w:rPr>
                <w:rFonts w:ascii="Cambria" w:hAnsi="Cambria"/>
                <w:b w:val="0"/>
                <w:color w:val="000000"/>
                <w:sz w:val="21"/>
              </w:rPr>
              <w:t>The U.S. remains 100% net-import reliant on natural graphite and Graphite One has a DPA-backed feasibility case for an integrated Alaska-to-Ohio supply chain.</w:t>
            </w:r>
          </w:p>
        </w:tc>
        <w:tc>
          <w:tcPr>
            <w:tcW w:type="dxa" w:w="2520"/>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pPr>
            <w:r>
              <w:rPr>
                <w:rFonts w:ascii="Cambria" w:hAnsi="Cambria"/>
                <w:b w:val="0"/>
                <w:color w:val="000000"/>
                <w:sz w:val="21"/>
              </w:rPr>
              <w:t>Meaningful project finance, permitting acceleration or major offtake / DoD support</w:t>
            </w:r>
          </w:p>
        </w:tc>
      </w:tr>
      <w:tr>
        <w:tc>
          <w:tcPr>
            <w:tcW w:type="dxa" w:w="2232"/>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pPr>
            <w:r>
              <w:rPr>
                <w:rFonts w:ascii="Cambria" w:hAnsi="Cambria"/>
                <w:b/>
                <w:color w:val="2B5797"/>
                <w:sz w:val="21"/>
              </w:rPr>
              <w:t>Ucore Rare Metals</w:t>
            </w:r>
          </w:p>
        </w:tc>
        <w:tc>
          <w:tcPr>
            <w:tcW w:type="dxa" w:w="1944"/>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pPr>
            <w:r>
              <w:rPr>
                <w:rFonts w:ascii="Cambria" w:hAnsi="Cambria"/>
                <w:b w:val="0"/>
                <w:color w:val="000000"/>
                <w:sz w:val="21"/>
              </w:rPr>
              <w:t>Separation / processing</w:t>
            </w:r>
          </w:p>
        </w:tc>
        <w:tc>
          <w:tcPr>
            <w:tcW w:type="dxa" w:w="4464"/>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pPr>
            <w:r>
              <w:rPr>
                <w:rFonts w:ascii="Cambria" w:hAnsi="Cambria"/>
                <w:b w:val="0"/>
                <w:color w:val="000000"/>
                <w:sz w:val="21"/>
              </w:rPr>
              <w:t>DoD-backed RapidSX work in Louisiana targets the midstream processing bottleneck rather than just mining.</w:t>
            </w:r>
          </w:p>
        </w:tc>
        <w:tc>
          <w:tcPr>
            <w:tcW w:type="dxa" w:w="2520"/>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pPr>
            <w:r>
              <w:rPr>
                <w:rFonts w:ascii="Cambria" w:hAnsi="Cambria"/>
                <w:b w:val="0"/>
                <w:color w:val="000000"/>
                <w:sz w:val="21"/>
              </w:rPr>
              <w:t>Commercial-scale construction progress and proof the processing route works economically</w:t>
            </w:r>
          </w:p>
        </w:tc>
      </w:tr>
      <w:tr>
        <w:tc>
          <w:tcPr>
            <w:tcW w:type="dxa" w:w="2232"/>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pPr>
            <w:r>
              <w:rPr>
                <w:rFonts w:ascii="Cambria" w:hAnsi="Cambria"/>
                <w:b/>
                <w:color w:val="2B5797"/>
                <w:sz w:val="21"/>
              </w:rPr>
              <w:t>Rare Element Resources</w:t>
            </w:r>
          </w:p>
        </w:tc>
        <w:tc>
          <w:tcPr>
            <w:tcW w:type="dxa" w:w="1944"/>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pPr>
            <w:r>
              <w:rPr>
                <w:rFonts w:ascii="Cambria" w:hAnsi="Cambria"/>
                <w:b w:val="0"/>
                <w:color w:val="000000"/>
                <w:sz w:val="21"/>
              </w:rPr>
              <w:t>Bear Lodge rare earths</w:t>
            </w:r>
          </w:p>
        </w:tc>
        <w:tc>
          <w:tcPr>
            <w:tcW w:type="dxa" w:w="4464"/>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pPr>
            <w:r>
              <w:rPr>
                <w:rFonts w:ascii="Cambria" w:hAnsi="Cambria"/>
                <w:b w:val="0"/>
                <w:color w:val="000000"/>
                <w:sz w:val="21"/>
              </w:rPr>
              <w:t>Bear Lodge has gained FAST-41 coverage and the company has recently raised capital, but it remains very early and highly speculative.</w:t>
            </w:r>
          </w:p>
        </w:tc>
        <w:tc>
          <w:tcPr>
            <w:tcW w:type="dxa" w:w="2520"/>
            <w:vAlign w:val="center"/>
            <w:tcMar>
              <w:top w:w="90" w:type="dxa"/>
              <w:start w:w="110" w:type="dxa"/>
              <w:bottom w:w="90" w:type="dxa"/>
              <w:end w:w="110" w:type="dxa"/>
            </w:tcMar>
            <w:tcBorders>
              <w:top w:val="single" w:sz="8" w:space="0" w:color="1F1F1F"/>
              <w:left w:val="single" w:sz="8" w:space="0" w:color="1F1F1F"/>
              <w:bottom w:val="single" w:sz="8" w:space="0" w:color="1F1F1F"/>
              <w:right w:val="single" w:sz="8" w:space="0" w:color="1F1F1F"/>
            </w:tcBorders>
          </w:tcPr>
          <w:p>
            <w:pPr>
              <w:spacing w:before="0" w:after="0" w:line="269" w:lineRule="auto"/>
            </w:pPr>
            <w:r>
              <w:rPr>
                <w:rFonts w:ascii="Cambria" w:hAnsi="Cambria"/>
                <w:b w:val="0"/>
                <w:color w:val="000000"/>
                <w:sz w:val="21"/>
              </w:rPr>
              <w:t>Demonstration plant proof, EXIM progress and a clearer path to commercial separation</w:t>
            </w:r>
          </w:p>
        </w:tc>
      </w:tr>
    </w:tbl>
    <w:p/>
    <w:p>
      <w:pPr>
        <w:pStyle w:val="HeadingBlue"/>
        <w:spacing w:before="80" w:after="120" w:line="276" w:lineRule="auto"/>
      </w:pPr>
      <w:r>
        <w:rPr>
          <w:rFonts w:ascii="Cambria" w:hAnsi="Cambria"/>
          <w:b/>
          <w:i w:val="0"/>
          <w:color w:val="2B5797"/>
          <w:sz w:val="34"/>
        </w:rPr>
        <w:t>Source appendix</w:t>
      </w:r>
    </w:p>
    <w:p>
      <w:pPr>
        <w:spacing w:before="0" w:after="40" w:line="269" w:lineRule="auto"/>
        <w:ind w:left="72"/>
      </w:pPr>
      <w:r>
        <w:rPr>
          <w:rFonts w:ascii="Cambria" w:hAnsi="Cambria"/>
          <w:b/>
          <w:i w:val="0"/>
          <w:color w:val="2B5797"/>
          <w:sz w:val="21"/>
        </w:rPr>
        <w:t xml:space="preserve">1. </w:t>
      </w:r>
      <w:r>
        <w:rPr>
          <w:rFonts w:ascii="Cambria" w:hAnsi="Cambria"/>
          <w:b w:val="0"/>
          <w:i w:val="0"/>
          <w:color w:val="000000"/>
          <w:sz w:val="21"/>
        </w:rPr>
        <w:t>USGS, Mineral Commodity Summaries 2026: Rare Earths; Heavy Rare Earths; Graphite (Natural); Antimony.</w:t>
      </w:r>
    </w:p>
    <w:p>
      <w:pPr>
        <w:spacing w:before="0" w:after="40" w:line="269" w:lineRule="auto"/>
        <w:ind w:left="72"/>
      </w:pPr>
      <w:r>
        <w:rPr>
          <w:rFonts w:ascii="Cambria" w:hAnsi="Cambria"/>
          <w:b/>
          <w:i w:val="0"/>
          <w:color w:val="2B5797"/>
          <w:sz w:val="21"/>
        </w:rPr>
        <w:t xml:space="preserve">2. </w:t>
      </w:r>
      <w:r>
        <w:rPr>
          <w:rFonts w:ascii="Cambria" w:hAnsi="Cambria"/>
          <w:b w:val="0"/>
          <w:i w:val="0"/>
          <w:color w:val="000000"/>
          <w:sz w:val="21"/>
        </w:rPr>
        <w:t>Reuters, 2 February 2026, 'Trump announces creation of critical mineral reserve' / Project Vault reporting.</w:t>
      </w:r>
    </w:p>
    <w:p>
      <w:pPr>
        <w:spacing w:before="0" w:after="40" w:line="269" w:lineRule="auto"/>
        <w:ind w:left="72"/>
      </w:pPr>
      <w:r>
        <w:rPr>
          <w:rFonts w:ascii="Cambria" w:hAnsi="Cambria"/>
          <w:b/>
          <w:i w:val="0"/>
          <w:color w:val="2B5797"/>
          <w:sz w:val="21"/>
        </w:rPr>
        <w:t xml:space="preserve">3. </w:t>
      </w:r>
      <w:r>
        <w:rPr>
          <w:rFonts w:ascii="Cambria" w:hAnsi="Cambria"/>
          <w:b w:val="0"/>
          <w:i w:val="0"/>
          <w:color w:val="000000"/>
          <w:sz w:val="21"/>
        </w:rPr>
        <w:t>Reuters, 12 April 2026, 'Australia and US boost support for critical minerals with $3.5 billion'.</w:t>
      </w:r>
    </w:p>
    <w:p>
      <w:pPr>
        <w:spacing w:before="0" w:after="40" w:line="269" w:lineRule="auto"/>
        <w:ind w:left="72"/>
      </w:pPr>
      <w:r>
        <w:rPr>
          <w:rFonts w:ascii="Cambria" w:hAnsi="Cambria"/>
          <w:b/>
          <w:i w:val="0"/>
          <w:color w:val="2B5797"/>
          <w:sz w:val="21"/>
        </w:rPr>
        <w:t xml:space="preserve">4. </w:t>
      </w:r>
      <w:r>
        <w:rPr>
          <w:rFonts w:ascii="Cambria" w:hAnsi="Cambria"/>
          <w:b w:val="0"/>
          <w:i w:val="0"/>
          <w:color w:val="000000"/>
          <w:sz w:val="21"/>
        </w:rPr>
        <w:t>Energy Fuels, 25 March 2026, 'First U.S. Primary Production of Critical Heavy Rare Earth Material in Decades'.</w:t>
      </w:r>
    </w:p>
    <w:p>
      <w:pPr>
        <w:spacing w:before="0" w:after="40" w:line="269" w:lineRule="auto"/>
        <w:ind w:left="72"/>
      </w:pPr>
      <w:r>
        <w:rPr>
          <w:rFonts w:ascii="Cambria" w:hAnsi="Cambria"/>
          <w:b/>
          <w:i w:val="0"/>
          <w:color w:val="2B5797"/>
          <w:sz w:val="21"/>
        </w:rPr>
        <w:t xml:space="preserve">5. </w:t>
      </w:r>
      <w:r>
        <w:rPr>
          <w:rFonts w:ascii="Cambria" w:hAnsi="Cambria"/>
          <w:b w:val="0"/>
          <w:i w:val="0"/>
          <w:color w:val="000000"/>
          <w:sz w:val="21"/>
        </w:rPr>
        <w:t>Reuters, 20 January 2026, 'U.S. uranium producer Energy Fuels to expand rare earths supply chain with ASM deal'.</w:t>
      </w:r>
    </w:p>
    <w:p>
      <w:pPr>
        <w:spacing w:before="0" w:after="40" w:line="269" w:lineRule="auto"/>
        <w:ind w:left="72"/>
      </w:pPr>
      <w:r>
        <w:rPr>
          <w:rFonts w:ascii="Cambria" w:hAnsi="Cambria"/>
          <w:b/>
          <w:i w:val="0"/>
          <w:color w:val="2B5797"/>
          <w:sz w:val="21"/>
        </w:rPr>
        <w:t xml:space="preserve">6. </w:t>
      </w:r>
      <w:r>
        <w:rPr>
          <w:rFonts w:ascii="Cambria" w:hAnsi="Cambria"/>
          <w:b w:val="0"/>
          <w:i w:val="0"/>
          <w:color w:val="000000"/>
          <w:sz w:val="21"/>
        </w:rPr>
        <w:t>Reuters, 31 March 2026, 'Perpetua Resources seeks $2.7 billion EXIM loan for Idaho gold-antimony project'.</w:t>
      </w:r>
    </w:p>
    <w:p>
      <w:pPr>
        <w:spacing w:before="0" w:after="40" w:line="269" w:lineRule="auto"/>
        <w:ind w:left="72"/>
      </w:pPr>
      <w:r>
        <w:rPr>
          <w:rFonts w:ascii="Cambria" w:hAnsi="Cambria"/>
          <w:b/>
          <w:i w:val="0"/>
          <w:color w:val="2B5797"/>
          <w:sz w:val="21"/>
        </w:rPr>
        <w:t xml:space="preserve">7. </w:t>
      </w:r>
      <w:r>
        <w:rPr>
          <w:rFonts w:ascii="Cambria" w:hAnsi="Cambria"/>
          <w:b w:val="0"/>
          <w:i w:val="0"/>
          <w:color w:val="000000"/>
          <w:sz w:val="21"/>
        </w:rPr>
        <w:t>Reuters, 19 September 2025 and 20 March 2025 reporting on Stibnite's U.S. antimony significance.</w:t>
      </w:r>
    </w:p>
    <w:p>
      <w:pPr>
        <w:spacing w:before="0" w:after="40" w:line="269" w:lineRule="auto"/>
        <w:ind w:left="72"/>
      </w:pPr>
      <w:r>
        <w:rPr>
          <w:rFonts w:ascii="Cambria" w:hAnsi="Cambria"/>
          <w:b/>
          <w:i w:val="0"/>
          <w:color w:val="2B5797"/>
          <w:sz w:val="21"/>
        </w:rPr>
        <w:t xml:space="preserve">8. </w:t>
      </w:r>
      <w:r>
        <w:rPr>
          <w:rFonts w:ascii="Cambria" w:hAnsi="Cambria"/>
          <w:b w:val="0"/>
          <w:i w:val="0"/>
          <w:color w:val="000000"/>
          <w:sz w:val="21"/>
        </w:rPr>
        <w:t>USA Rare Earth, 26 March 2026, 'Commissioning of Phase 1a Magnet Production at Stillwater Facility'.</w:t>
      </w:r>
    </w:p>
    <w:p>
      <w:pPr>
        <w:spacing w:before="0" w:after="40" w:line="269" w:lineRule="auto"/>
        <w:ind w:left="72"/>
      </w:pPr>
      <w:r>
        <w:rPr>
          <w:rFonts w:ascii="Cambria" w:hAnsi="Cambria"/>
          <w:b/>
          <w:i w:val="0"/>
          <w:color w:val="2B5797"/>
          <w:sz w:val="21"/>
        </w:rPr>
        <w:t xml:space="preserve">9. </w:t>
      </w:r>
      <w:r>
        <w:rPr>
          <w:rFonts w:ascii="Cambria" w:hAnsi="Cambria"/>
          <w:b w:val="0"/>
          <w:i w:val="0"/>
          <w:color w:val="000000"/>
          <w:sz w:val="21"/>
        </w:rPr>
        <w:t>Reuters, 26 January 2026 and 5 March 2026 reporting on USA Rare Earth funding support and Round Top consolidation.</w:t>
      </w:r>
    </w:p>
    <w:p>
      <w:pPr>
        <w:spacing w:before="0" w:after="40" w:line="269" w:lineRule="auto"/>
        <w:ind w:left="72"/>
      </w:pPr>
      <w:r>
        <w:rPr>
          <w:rFonts w:ascii="Cambria" w:hAnsi="Cambria"/>
          <w:b/>
          <w:i w:val="0"/>
          <w:color w:val="2B5797"/>
          <w:sz w:val="21"/>
        </w:rPr>
        <w:t xml:space="preserve">10. </w:t>
      </w:r>
      <w:r>
        <w:rPr>
          <w:rFonts w:ascii="Cambria" w:hAnsi="Cambria"/>
          <w:b w:val="0"/>
          <w:i w:val="0"/>
          <w:color w:val="000000"/>
          <w:sz w:val="21"/>
        </w:rPr>
        <w:t>USA Rare Earth / Reuters, 9 April 2026, Carester investment and strategic partnership in France.</w:t>
      </w:r>
    </w:p>
    <w:p>
      <w:pPr>
        <w:spacing w:before="0" w:after="40" w:line="269" w:lineRule="auto"/>
        <w:ind w:left="72"/>
      </w:pPr>
      <w:r>
        <w:rPr>
          <w:rFonts w:ascii="Cambria" w:hAnsi="Cambria"/>
          <w:b/>
          <w:i w:val="0"/>
          <w:color w:val="2B5797"/>
          <w:sz w:val="21"/>
        </w:rPr>
        <w:t xml:space="preserve">11. </w:t>
      </w:r>
      <w:r>
        <w:rPr>
          <w:rFonts w:ascii="Cambria" w:hAnsi="Cambria"/>
          <w:b w:val="0"/>
          <w:i w:val="0"/>
          <w:color w:val="000000"/>
          <w:sz w:val="21"/>
        </w:rPr>
        <w:t>Reuters, 26 February 2026, 'MP Materials swings to Q4 profit on U.S. government price support'.</w:t>
      </w:r>
    </w:p>
    <w:p>
      <w:pPr>
        <w:spacing w:before="0" w:after="40" w:line="269" w:lineRule="auto"/>
        <w:ind w:left="72"/>
      </w:pPr>
      <w:r>
        <w:rPr>
          <w:rFonts w:ascii="Cambria" w:hAnsi="Cambria"/>
          <w:b/>
          <w:i w:val="0"/>
          <w:color w:val="2B5797"/>
          <w:sz w:val="21"/>
        </w:rPr>
        <w:t xml:space="preserve">12. </w:t>
      </w:r>
      <w:r>
        <w:rPr>
          <w:rFonts w:ascii="Cambria" w:hAnsi="Cambria"/>
          <w:b w:val="0"/>
          <w:i w:val="0"/>
          <w:color w:val="000000"/>
          <w:sz w:val="21"/>
        </w:rPr>
        <w:t>MP Materials, 26 February 2026, 'Selects Northlake, Texas, as the Site of 10X'.</w:t>
      </w:r>
    </w:p>
    <w:p>
      <w:pPr>
        <w:spacing w:before="0" w:after="40" w:line="269" w:lineRule="auto"/>
        <w:ind w:left="72"/>
      </w:pPr>
      <w:r>
        <w:rPr>
          <w:rFonts w:ascii="Cambria" w:hAnsi="Cambria"/>
          <w:b/>
          <w:i w:val="0"/>
          <w:color w:val="2B5797"/>
          <w:sz w:val="21"/>
        </w:rPr>
        <w:t xml:space="preserve">13. </w:t>
      </w:r>
      <w:r>
        <w:rPr>
          <w:rFonts w:ascii="Cambria" w:hAnsi="Cambria"/>
          <w:b w:val="0"/>
          <w:i w:val="0"/>
          <w:color w:val="000000"/>
          <w:sz w:val="21"/>
        </w:rPr>
        <w:t>NioCorp, 26 February 2026, mine portal construction update; Reuters, 5 August 2025, DoD scandium award; NioCorp, 9 April 2026, Traxys term sheet.</w:t>
      </w:r>
    </w:p>
    <w:p>
      <w:pPr>
        <w:spacing w:before="0" w:after="40" w:line="269" w:lineRule="auto"/>
        <w:ind w:left="72"/>
      </w:pPr>
      <w:r>
        <w:rPr>
          <w:rFonts w:ascii="Cambria" w:hAnsi="Cambria"/>
          <w:b/>
          <w:i w:val="0"/>
          <w:color w:val="2B5797"/>
          <w:sz w:val="21"/>
        </w:rPr>
        <w:t xml:space="preserve">14. </w:t>
      </w:r>
      <w:r>
        <w:rPr>
          <w:rFonts w:ascii="Cambria" w:hAnsi="Cambria"/>
          <w:b w:val="0"/>
          <w:i w:val="0"/>
          <w:color w:val="000000"/>
          <w:sz w:val="21"/>
        </w:rPr>
        <w:t>Reuters, 23 September 2025, 'US Antimony Corp wins $245 million Pentagon contract to build defense stockpile'.</w:t>
      </w:r>
    </w:p>
    <w:p>
      <w:pPr>
        <w:spacing w:before="0" w:after="40" w:line="269" w:lineRule="auto"/>
        <w:ind w:left="72"/>
      </w:pPr>
      <w:r>
        <w:rPr>
          <w:rFonts w:ascii="Cambria" w:hAnsi="Cambria"/>
          <w:b/>
          <w:i w:val="0"/>
          <w:color w:val="2B5797"/>
          <w:sz w:val="21"/>
        </w:rPr>
        <w:t xml:space="preserve">15. </w:t>
      </w:r>
      <w:r>
        <w:rPr>
          <w:rFonts w:ascii="Cambria" w:hAnsi="Cambria"/>
          <w:b w:val="0"/>
          <w:i w:val="0"/>
          <w:color w:val="000000"/>
          <w:sz w:val="21"/>
        </w:rPr>
        <w:t>Reuters, 10 March 2026 and 15 June 2025 reporting on Critical Metals, Tanbreez acceleration and EXIM interest.</w:t>
      </w:r>
    </w:p>
    <w:sectPr w:rsidR="00FC693F" w:rsidRPr="0006063C" w:rsidSect="00034616">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Blue">
    <w:name w:val="TitleBlue"/>
    <w:basedOn w:val="Normal"/>
    <w:rPr>
      <w:rFonts w:ascii="Cambria" w:hAnsi="Cambria"/>
      <w:b/>
      <w:color w:val="2B5797"/>
      <w:sz w:val="52"/>
    </w:rPr>
  </w:style>
  <w:style w:type="paragraph" w:customStyle="1" w:styleId="SubtitleGrey">
    <w:name w:val="SubtitleGrey"/>
    <w:basedOn w:val="Normal"/>
    <w:rPr>
      <w:rFonts w:ascii="Cambria" w:hAnsi="Cambria"/>
      <w:b w:val="0"/>
      <w:color w:val="666666"/>
      <w:sz w:val="30"/>
    </w:rPr>
  </w:style>
  <w:style w:type="paragraph" w:customStyle="1" w:styleId="HeadingBlue">
    <w:name w:val="HeadingBlue"/>
    <w:basedOn w:val="Normal"/>
    <w:rPr>
      <w:rFonts w:ascii="Cambria" w:hAnsi="Cambria"/>
      <w:b/>
      <w:color w:val="2B5797"/>
      <w:sz w:val="34"/>
    </w:rPr>
  </w:style>
  <w:style w:type="paragraph" w:customStyle="1" w:styleId="SubheadingBlue">
    <w:name w:val="SubheadingBlue"/>
    <w:basedOn w:val="Normal"/>
    <w:rPr>
      <w:rFonts w:ascii="Cambria" w:hAnsi="Cambria"/>
      <w:b/>
      <w:color w:val="2B5797"/>
      <w:sz w:val="2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