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44"/>
          <w:szCs w:val="44"/>
        </w:rPr>
        <w:t xml:space="preserve">PORTFOLIO BRIEFING</w:t>
      </w:r>
    </w:p>
    <w:p>
      <w:pPr>
        <w:pBdr>
          <w:bottom w:val="single" w:color="2E75B6" w:sz="6" w:space="4"/>
        </w:pBdr>
        <w:spacing w:before="0" w:after="60"/>
      </w:pPr>
      <w:r>
        <w:rPr>
          <w:rFonts w:ascii="Arial" w:cs="Arial" w:eastAsia="Arial" w:hAnsi="Arial"/>
          <w:color w:val="4A5568"/>
          <w:sz w:val="24"/>
          <w:szCs w:val="24"/>
        </w:rPr>
        <w:t xml:space="preserve">Current Positions — Investment Rationale &amp; Upside Analysis</w:t>
      </w:r>
      <w:r>
        <w:rPr>
          <w:rFonts w:ascii="Arial" w:cs="Arial" w:eastAsia="Arial" w:hAnsi="Arial"/>
          <w:i/>
          <w:iCs/>
          <w:color w:val="4A5568"/>
          <w:sz w:val="20"/>
          <w:szCs w:val="20"/>
        </w:rPr>
        <w:t xml:space="preserve">     27 March 2026</w:t>
      </w:r>
    </w:p>
    <w:p>
      <w:pPr>
        <w:spacing w:before="120" w:after="80"/>
      </w:pPr>
    </w:p>
    <w:p>
      <w:pPr>
        <w:spacing w:before="0" w:after="60"/>
      </w:pPr>
      <w:r>
        <w:rPr>
          <w:rFonts w:ascii="Arial" w:cs="Arial" w:eastAsia="Arial" w:hAnsi="Arial"/>
          <w:i/>
          <w:iCs/>
          <w:color w:val="4A5568"/>
          <w:sz w:val="19"/>
          <w:szCs w:val="19"/>
        </w:rPr>
        <w:t xml:space="preserve">This briefing summarises the current portfolio positions, investment thesis, and upside potential for each holding. Positions are grouped by theme. Analyst price targets and upside percentages are sourced from current sell-side consensus. This document does not contain position sizing or entry price information.</w:t>
      </w:r>
    </w:p>
    <w:p>
      <w:pPr>
        <w:spacing w:before="80" w:after="160"/>
      </w:pPr>
    </w:p>
    <w:p>
      <w:pPr>
        <w:pBdr>
          <w:bottom w:val="single" w:color="2E75B6" w:sz="4" w:space="4"/>
        </w:pBdr>
        <w:spacing w:before="280" w:after="100"/>
      </w:pPr>
      <w:r>
        <w:rPr>
          <w:rFonts w:ascii="Arial" w:cs="Arial" w:eastAsia="Arial" w:hAnsi="Arial"/>
          <w:b/>
          <w:bCs/>
          <w:color w:val="2E5C8A"/>
          <w:sz w:val="22"/>
          <w:szCs w:val="22"/>
        </w:rPr>
        <w:t xml:space="preserve">US DEFENCE &amp; TECHNOLOGY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AVAV  </w:t>
            </w:r>
            <w:r>
              <w:rPr>
                <w:rFonts w:ascii="Arial" w:cs="Arial" w:eastAsia="Arial" w:hAnsi="Arial"/>
                <w:color w:val="B8D4F0"/>
                <w:sz w:val="19"/>
                <w:szCs w:val="19"/>
              </w:rPr>
              <w:t xml:space="preserve">AeroVironment Inc</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$197.91</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$311</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Maker of Switchblade loitering munitions and tactical drones. Direct beneficiary of elevated Iran conflict demand — Switchblade is operationally deployed across multiple conflict theatres. Pentagon procurement accelerating. US Army largest customer. Thesis driven by sustained conflict requiring drone attrition replenishment.</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Jun 23</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KTOS  </w:t>
            </w:r>
            <w:r>
              <w:rPr>
                <w:rFonts w:ascii="Arial" w:cs="Arial" w:eastAsia="Arial" w:hAnsi="Arial"/>
                <w:color w:val="B8D4F0"/>
                <w:sz w:val="19"/>
                <w:szCs w:val="19"/>
              </w:rPr>
              <w:t xml:space="preserve">Kratos Defense &amp; Security</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$75.97</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$125</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Pure-play in autonomous drones (Valkyrie), hypersonic vehicles, Counter-UAS, and satellite ground systems. Orbit Technologies acquisition closed March 2 expanding satellite comms footprint. $49M Naval Surface Warfare Center contract awarded today. MACH-TB 2.0 hypersonic test programme driving revenue growth. Air Force CCA Increment 2 a major upcoming catalyst. Analyst range $115–$134.</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6 / Valkyrie CCA</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PLTR  </w:t>
            </w:r>
            <w:r>
              <w:rPr>
                <w:rFonts w:ascii="Arial" w:cs="Arial" w:eastAsia="Arial" w:hAnsi="Arial"/>
                <w:color w:val="B8D4F0"/>
                <w:sz w:val="19"/>
                <w:szCs w:val="19"/>
              </w:rPr>
              <w:t xml:space="preserve">Palantir Technologies</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 AI</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$147.56</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$194</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AI software backbone of the US military. Maven Smart System designated Pentagon Program of Record March 20 — locking in multi-year funding. Selected as core developer for $185B Golden Dome missile defence with Anduril. Q4 2025 revenue +70% YoY to $1.41B; US commercial revenue +137%. 2026 guidance $7.2B. Bain &amp; Company partnership expanded March 26. Rosenblatt target $200, Citigroup $260.</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11</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AMPX  </w:t>
            </w:r>
            <w:r>
              <w:rPr>
                <w:rFonts w:ascii="Arial" w:cs="Arial" w:eastAsia="Arial" w:hAnsi="Arial"/>
                <w:color w:val="B8D4F0"/>
                <w:sz w:val="19"/>
                <w:szCs w:val="19"/>
              </w:rPr>
              <w:t xml:space="preserve">Amprius Technologies</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Tech</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$17.46</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$32</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+83%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Silicon anode battery technology targeting defence and aviation. Significantly higher energy density than conventional lithium-ion — critical for extended drone endurance. Early-stage but with defence programme relationships. Stop protection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7</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ONDS  </w:t>
            </w:r>
            <w:r>
              <w:rPr>
                <w:rFonts w:ascii="Arial" w:cs="Arial" w:eastAsia="Arial" w:hAnsi="Arial"/>
                <w:color w:val="B8D4F0"/>
                <w:sz w:val="19"/>
                <w:szCs w:val="19"/>
              </w:rPr>
              <w:t xml:space="preserve">Ondas Holdings Inc</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 Autonomous</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$9.42</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$19</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+102%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Autonomous drone and rail intelligence systems. March 9: announced $175M acquisition of Mistral Inc, a US defence prime contractor with $1B+ in existing DoD IDIQ contracts covering weapon systems, drones, and unmanned platforms. Provides US Army and Special Operations contract access. Speculative but structurally transformative if integration succeeds. Small position, stop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18 / Mistral Close Q2</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12–24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PDYN  </w:t>
            </w:r>
            <w:r>
              <w:rPr>
                <w:rFonts w:ascii="Arial" w:cs="Arial" w:eastAsia="Arial" w:hAnsi="Arial"/>
                <w:color w:val="B8D4F0"/>
                <w:sz w:val="19"/>
                <w:szCs w:val="19"/>
              </w:rPr>
              <w:t xml:space="preserve">Palladyne AI Corp</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 AI</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$6.30</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Binary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SwarmOS AI for autonomous drone coordination. HANGTIME US Army contract provides near-term revenue visibility. Revenue guidance $4–27M for 2026 — wide range reflects early-stage commercial position. Speculative allocation. Stop protection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13 / HANGTIME contract</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p>
      <w:pPr>
        <w:pBdr>
          <w:bottom w:val="single" w:color="2E75B6" w:sz="4" w:space="4"/>
        </w:pBdr>
        <w:spacing w:before="280" w:after="100"/>
      </w:pPr>
      <w:r>
        <w:rPr>
          <w:rFonts w:ascii="Arial" w:cs="Arial" w:eastAsia="Arial" w:hAnsi="Arial"/>
          <w:b/>
          <w:bCs/>
          <w:color w:val="2E5C8A"/>
          <w:sz w:val="22"/>
          <w:szCs w:val="22"/>
        </w:rPr>
        <w:t xml:space="preserve">ENERGY, NUCLEAR &amp; POWER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VST  </w:t>
            </w:r>
            <w:r>
              <w:rPr>
                <w:rFonts w:ascii="Arial" w:cs="Arial" w:eastAsia="Arial" w:hAnsi="Arial"/>
                <w:color w:val="B8D4F0"/>
                <w:sz w:val="19"/>
                <w:szCs w:val="19"/>
              </w:rPr>
              <w:t xml:space="preserve">Vistra Corp</w:t>
            </w:r>
          </w:p>
        </w:tc>
        <w:tc>
          <w:tcPr>
            <w:tcW w:type="dxa" w:w="2200"/>
            <w:tcBorders>
              <w:top w:val="none" w:color="FFFFFF" w:sz="0"/>
              <w:left w:val="none" w:color="FFFFFF" w:sz="0"/>
              <w:bottom w:val="none" w:color="FFFFFF" w:sz="0"/>
              <w:right w:val="none" w:color="FFFFFF" w:sz="0"/>
            </w:tcBorders>
            <w:shd w:fill="FFF8E1" w:val="clear"/>
            <w:tcMar>
              <w:top w:type="dxa" w:w="100"/>
              <w:left w:type="dxa" w:w="100"/>
              <w:bottom w:type="dxa" w:w="100"/>
              <w:right w:type="dxa" w:w="100"/>
            </w:tcMar>
            <w:vAlign w:val="center"/>
          </w:tcPr>
          <w:p>
            <w:pPr>
              <w:jc w:val="center"/>
            </w:pPr>
            <w:r>
              <w:rPr>
                <w:rFonts w:ascii="Arial" w:cs="Arial" w:eastAsia="Arial" w:hAnsi="Arial"/>
                <w:b/>
                <w:bCs/>
                <w:color w:val="7B4F00"/>
                <w:sz w:val="17"/>
                <w:szCs w:val="17"/>
              </w:rPr>
              <w:t xml:space="preserve">Energy / AI Power</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$153.06</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Structural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Largest competitive power generator in the US. Dual thesis: elevated energy prices from Iran conflict and structural data centre electricity demand from AI. Nuclear and gas generation fleet provides low-cost baseload supply into power markets priced at all-time highs. Profitable and cash generative.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13</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12–24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LEU  </w:t>
            </w:r>
            <w:r>
              <w:rPr>
                <w:rFonts w:ascii="Arial" w:cs="Arial" w:eastAsia="Arial" w:hAnsi="Arial"/>
                <w:color w:val="B8D4F0"/>
                <w:sz w:val="19"/>
                <w:szCs w:val="19"/>
              </w:rPr>
              <w:t xml:space="preserve">Centrus Energy Corp</w:t>
            </w:r>
          </w:p>
        </w:tc>
        <w:tc>
          <w:tcPr>
            <w:tcW w:type="dxa" w:w="2200"/>
            <w:tcBorders>
              <w:top w:val="none" w:color="FFFFFF" w:sz="0"/>
              <w:left w:val="none" w:color="FFFFFF" w:sz="0"/>
              <w:bottom w:val="none" w:color="FFFFFF" w:sz="0"/>
              <w:right w:val="none" w:color="FFFFFF" w:sz="0"/>
            </w:tcBorders>
            <w:shd w:fill="FFF8E1" w:val="clear"/>
            <w:tcMar>
              <w:top w:type="dxa" w:w="100"/>
              <w:left w:type="dxa" w:w="100"/>
              <w:bottom w:type="dxa" w:w="100"/>
              <w:right w:type="dxa" w:w="100"/>
            </w:tcMar>
            <w:vAlign w:val="center"/>
          </w:tcPr>
          <w:p>
            <w:pPr>
              <w:jc w:val="center"/>
            </w:pPr>
            <w:r>
              <w:rPr>
                <w:rFonts w:ascii="Arial" w:cs="Arial" w:eastAsia="Arial" w:hAnsi="Arial"/>
                <w:b/>
                <w:bCs/>
                <w:color w:val="7B4F00"/>
                <w:sz w:val="17"/>
                <w:szCs w:val="17"/>
              </w:rPr>
              <w:t xml:space="preserve">Nuclear / Energy</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$193.29</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Structural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Only US-licensed producer of High-Assay Low-Enriched Uranium (HALEU) — the fuel required for next-generation small modular reactors. Profitable and debt-light. Monopoly position in a fuel type with zero near-term substitutes. NATO nations accelerating SMR deployment reduces Russian nuclear fuel dependency. Europe's 46 bcm gas storage (lowest since 2022) reinforces the case for nuclear baseload.</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 American</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SMR contract news / policy</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24–36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UEC  </w:t>
            </w:r>
            <w:r>
              <w:rPr>
                <w:rFonts w:ascii="Arial" w:cs="Arial" w:eastAsia="Arial" w:hAnsi="Arial"/>
                <w:color w:val="B8D4F0"/>
                <w:sz w:val="19"/>
                <w:szCs w:val="19"/>
              </w:rPr>
              <w:t xml:space="preserve">Uranium Energy Corp</w:t>
            </w:r>
          </w:p>
        </w:tc>
        <w:tc>
          <w:tcPr>
            <w:tcW w:type="dxa" w:w="2200"/>
            <w:tcBorders>
              <w:top w:val="none" w:color="FFFFFF" w:sz="0"/>
              <w:left w:val="none" w:color="FFFFFF" w:sz="0"/>
              <w:bottom w:val="none" w:color="FFFFFF" w:sz="0"/>
              <w:right w:val="none" w:color="FFFFFF" w:sz="0"/>
            </w:tcBorders>
            <w:shd w:fill="FFF8E1" w:val="clear"/>
            <w:tcMar>
              <w:top w:type="dxa" w:w="100"/>
              <w:left w:type="dxa" w:w="100"/>
              <w:bottom w:type="dxa" w:w="100"/>
              <w:right w:type="dxa" w:w="100"/>
            </w:tcMar>
            <w:vAlign w:val="center"/>
          </w:tcPr>
          <w:p>
            <w:pPr>
              <w:jc w:val="center"/>
            </w:pPr>
            <w:r>
              <w:rPr>
                <w:rFonts w:ascii="Arial" w:cs="Arial" w:eastAsia="Arial" w:hAnsi="Arial"/>
                <w:b/>
                <w:bCs/>
                <w:color w:val="7B4F00"/>
                <w:sz w:val="17"/>
                <w:szCs w:val="17"/>
              </w:rPr>
              <w:t xml:space="preserve">Nuclear / Uranium</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$13.13</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Commodity upside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Junior uranium producer leveraged to uranium spot price. Pre-revenue stage with negative EBITDA — higher risk expression of the nuclear thesis. Under review for exit — Centrus (LEU) is the preferred, more conservative nuclear exposure due to its profitability and monopoly HALEU position. Hold pending a price bounce.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 American</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Uranium price recovery</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Reviewing</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p>
      <w:pPr>
        <w:pBdr>
          <w:bottom w:val="single" w:color="2E75B6" w:sz="4" w:space="4"/>
        </w:pBdr>
        <w:spacing w:before="280" w:after="100"/>
      </w:pPr>
      <w:r>
        <w:rPr>
          <w:rFonts w:ascii="Arial" w:cs="Arial" w:eastAsia="Arial" w:hAnsi="Arial"/>
          <w:b/>
          <w:bCs/>
          <w:color w:val="2E5C8A"/>
          <w:sz w:val="22"/>
          <w:szCs w:val="22"/>
        </w:rPr>
        <w:t xml:space="preserve">EUROPEAN DEFENCE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R3NK.DE  </w:t>
            </w:r>
            <w:r>
              <w:rPr>
                <w:rFonts w:ascii="Arial" w:cs="Arial" w:eastAsia="Arial" w:hAnsi="Arial"/>
                <w:color w:val="B8D4F0"/>
                <w:sz w:val="19"/>
                <w:szCs w:val="19"/>
              </w:rPr>
              <w:t xml:space="preserve">RENK Group AG</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EU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€46.63</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€68</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German defence transmission specialist for NATO armoured vehicles (Leopard, CV90). €6.68B order backlog providing multi-year revenue visibility. FY2025 revenue +19.8%. Germany's 2026 defence budget €108B (+25% YoY). 14-analyst Buy consensus, targets ranging €63–€76. Current weakness reflects post-results consolidation and sector noise — not thesis failure. May 6 earnings expected to confirm order intake recovery.</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XETRA</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6</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LDO.MI  </w:t>
            </w:r>
            <w:r>
              <w:rPr>
                <w:rFonts w:ascii="Arial" w:cs="Arial" w:eastAsia="Arial" w:hAnsi="Arial"/>
                <w:color w:val="B8D4F0"/>
                <w:sz w:val="19"/>
                <w:szCs w:val="19"/>
              </w:rPr>
              <w:t xml:space="preserve">Leonardo SpA</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EU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€57.74</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€68</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Italy's leading aerospace and defence group. 30% owned by Italian government providing strategic stability and no dilution risk. FY2025 orders +14.5% to €23.8B. Revenue target €30B by 2030. Iveco Defence acquisition completed March 2026 expanding ground vehicle capability. Barclays upgraded to Overweight March 9, target €68. Best earnings momentum in EU defence peer group per Barclays. Lowest ceasefire risk of all EU defence names due to civilian helicopter revenue diversification (29.5% of revenue). Equita target €71.</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Borsa Italiana</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5</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RR.L  </w:t>
            </w:r>
            <w:r>
              <w:rPr>
                <w:rFonts w:ascii="Arial" w:cs="Arial" w:eastAsia="Arial" w:hAnsi="Arial"/>
                <w:color w:val="B8D4F0"/>
                <w:sz w:val="19"/>
                <w:szCs w:val="19"/>
              </w:rPr>
              <w:t xml:space="preserve">Rolls-Royce Holdings</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UK Defence / Nuclear</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1134p</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1395p</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Long-term multi-thesis hold. Defence engines for Eurofighter, F-35, and Type 26 frigates. AUKUS submarine propulsion. Small Modular Reactor (SMR) programme — targeting 16 SMRs in UK by 2035. Reinstated dividend, ex-div April 23 — hold before that date. Structural European defence and nuclear spend tailwind over 2–5 year horizon.</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LSE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Ex-div Apr 23 / H1 Earnings Jul 30</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12–24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SHLD  </w:t>
            </w:r>
            <w:r>
              <w:rPr>
                <w:rFonts w:ascii="Arial" w:cs="Arial" w:eastAsia="Arial" w:hAnsi="Arial"/>
                <w:color w:val="B8D4F0"/>
                <w:sz w:val="19"/>
                <w:szCs w:val="19"/>
              </w:rPr>
              <w:t xml:space="preserve">Global X Defence Tech ETF</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Defence ETF / Hedge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$71.37</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Diversified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Diversified exposure to the global defence technology sector. Held as a portfolio hedge ensuring broad sector participation. Provides exposure to names outside direct single-stock picks including Lockheed Martin, RTX, Northrop Grumman, and European peers.</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Ongoing</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Ongoing</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p>
      <w:pPr>
        <w:pBdr>
          <w:bottom w:val="single" w:color="2E75B6" w:sz="4" w:space="4"/>
        </w:pBdr>
        <w:spacing w:before="280" w:after="100"/>
      </w:pPr>
      <w:r>
        <w:rPr>
          <w:rFonts w:ascii="Arial" w:cs="Arial" w:eastAsia="Arial" w:hAnsi="Arial"/>
          <w:b/>
          <w:bCs/>
          <w:color w:val="2E5C8A"/>
          <w:sz w:val="22"/>
          <w:szCs w:val="22"/>
        </w:rPr>
        <w:t xml:space="preserve">CONSUMER LEISURE &amp; PEACE DIVIDEND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RCL  </w:t>
            </w:r>
            <w:r>
              <w:rPr>
                <w:rFonts w:ascii="Arial" w:cs="Arial" w:eastAsia="Arial" w:hAnsi="Arial"/>
                <w:color w:val="B8D4F0"/>
                <w:sz w:val="19"/>
                <w:szCs w:val="19"/>
              </w:rPr>
              <w:t xml:space="preserve">Royal Caribbean Cruises</w:t>
            </w:r>
          </w:p>
        </w:tc>
        <w:tc>
          <w:tcPr>
            <w:tcW w:type="dxa" w:w="2200"/>
            <w:tcBorders>
              <w:top w:val="none" w:color="FFFFFF" w:sz="0"/>
              <w:left w:val="none" w:color="FFFFFF" w:sz="0"/>
              <w:bottom w:val="none" w:color="FFFFFF" w:sz="0"/>
              <w:right w:val="none" w:color="FFFFFF" w:sz="0"/>
            </w:tcBorders>
            <w:shd w:fill="F3E8FD" w:val="clear"/>
            <w:tcMar>
              <w:top w:type="dxa" w:w="100"/>
              <w:left w:type="dxa" w:w="100"/>
              <w:bottom w:type="dxa" w:w="100"/>
              <w:right w:type="dxa" w:w="100"/>
            </w:tcMar>
            <w:vAlign w:val="center"/>
          </w:tcPr>
          <w:p>
            <w:pPr>
              <w:jc w:val="center"/>
            </w:pPr>
            <w:r>
              <w:rPr>
                <w:rFonts w:ascii="Arial" w:cs="Arial" w:eastAsia="Arial" w:hAnsi="Arial"/>
                <w:b/>
                <w:bCs/>
                <w:color w:val="5B1A8A"/>
                <w:sz w:val="17"/>
                <w:szCs w:val="17"/>
              </w:rPr>
              <w:t xml:space="preserve">Leisure / Consumer</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$277.22</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$364</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Premium cruise operator with ~50% fuel hedged for 2026 — providing a meaningful buffer vs unhedged peers in the current elevated oil environment. Strong advance bookings at record pricing. Direct beneficiary of any de-escalation: oil falls, disposable income recovers, travel demand accelerates. Luxury and high-income demographic insulated from fuel cost pass-through.</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Q2 Earnings / Peace dividend</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IAG.L  </w:t>
            </w:r>
            <w:r>
              <w:rPr>
                <w:rFonts w:ascii="Arial" w:cs="Arial" w:eastAsia="Arial" w:hAnsi="Arial"/>
                <w:color w:val="B8D4F0"/>
                <w:sz w:val="19"/>
                <w:szCs w:val="19"/>
              </w:rPr>
              <w:t xml:space="preserve">Intl Consolidated Airlines</w:t>
            </w:r>
          </w:p>
        </w:tc>
        <w:tc>
          <w:tcPr>
            <w:tcW w:type="dxa" w:w="2200"/>
            <w:tcBorders>
              <w:top w:val="none" w:color="FFFFFF" w:sz="0"/>
              <w:left w:val="none" w:color="FFFFFF" w:sz="0"/>
              <w:bottom w:val="none" w:color="FFFFFF" w:sz="0"/>
              <w:right w:val="none" w:color="FFFFFF" w:sz="0"/>
            </w:tcBorders>
            <w:shd w:fill="F3E8FD" w:val="clear"/>
            <w:tcMar>
              <w:top w:type="dxa" w:w="100"/>
              <w:left w:type="dxa" w:w="100"/>
              <w:bottom w:type="dxa" w:w="100"/>
              <w:right w:type="dxa" w:w="100"/>
            </w:tcMar>
            <w:vAlign w:val="center"/>
          </w:tcPr>
          <w:p>
            <w:pPr>
              <w:jc w:val="center"/>
            </w:pPr>
            <w:r>
              <w:rPr>
                <w:rFonts w:ascii="Arial" w:cs="Arial" w:eastAsia="Arial" w:hAnsi="Arial"/>
                <w:b/>
                <w:bCs/>
                <w:color w:val="5B1A8A"/>
                <w:sz w:val="17"/>
                <w:szCs w:val="17"/>
              </w:rPr>
              <w:t xml:space="preserve">Peace Dividend / Airlines</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355p</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492p</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+38%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British Airways, Iberia, Aer Lingus parent. Counter-thesis position: a deliberate peace-dividend bet. US extended 10-day pause on Iran energy strikes to April 6 — at Iran's request, signalling back-channel engagement. If de-escalation materialises, oil drops sharply and airlines re-rate violently. IAG is the preferred expression: well fuel-hedged short-term, active €500M buyback, 15 Buy / 1 Sell analyst ratings, trading 22% below its pre-war February high. P/E 7.7x — deeply discounted.</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LSE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Apr 6 pause expiry / ceasefire</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1–6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p>
      <w:pPr>
        <w:spacing w:before="200" w:after="80"/>
      </w:pPr>
    </w:p>
    <w:p>
      <w:pPr>
        <w:pBdr>
          <w:top w:val="single" w:color="D0D8E4" w:sz="4" w:space="4"/>
        </w:pBdr>
        <w:spacing w:before="120" w:after="60"/>
      </w:pPr>
      <w:r>
        <w:rPr>
          <w:rFonts w:ascii="Arial" w:cs="Arial" w:eastAsia="Arial" w:hAnsi="Arial"/>
          <w:i/>
          <w:iCs/>
          <w:color w:val="4A5568"/>
          <w:sz w:val="16"/>
          <w:szCs w:val="16"/>
        </w:rPr>
        <w:t xml:space="preserve">DISCLAIMER: This document is for informational purposes only and does not constitute financial advice or a recommendation to buy or sell any security. All analyst price targets are third-party estimates and not guaranteed. Past performance is not indicative of future results. Investing involves risk including potential loss of capital.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2026-03-27T09:13:52.503Z</dcterms:created>
  <dcterms:modified xsi:type="dcterms:W3CDTF">2026-03-27T09:13:52.503Z</dcterms:modified>
</cp:coreProperties>
</file>

<file path=docProps/custom.xml><?xml version="1.0" encoding="utf-8"?>
<Properties xmlns="http://schemas.openxmlformats.org/officeDocument/2006/custom-properties" xmlns:vt="http://schemas.openxmlformats.org/officeDocument/2006/docPropsVTypes"/>
</file>