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A3A5C"/>
          <w:sz w:val="36"/>
          <w:szCs w:val="36"/>
        </w:rPr>
        <w:t xml:space="preserve">PORTFOLIO BRIEFING</w:t>
      </w:r>
    </w:p>
    <w:p>
      <w:pPr>
        <w:spacing w:after="40"/>
      </w:pPr>
      <w:r>
        <w:rPr>
          <w:rFonts w:ascii="Arial" w:cs="Arial" w:eastAsia="Arial" w:hAnsi="Arial"/>
          <w:color w:val="546E7A"/>
          <w:sz w:val="24"/>
          <w:szCs w:val="24"/>
        </w:rPr>
        <w:t xml:space="preserve">Position Overview &amp; Investment Thesis</w:t>
      </w:r>
    </w:p>
    <w:p>
      <w:pPr>
        <w:spacing w:after="200"/>
      </w:pPr>
      <w:r>
        <w:rPr>
          <w:rFonts w:ascii="Arial" w:cs="Arial" w:eastAsia="Arial" w:hAnsi="Arial"/>
          <w:color w:val="78909C"/>
          <w:sz w:val="18"/>
          <w:szCs w:val="18"/>
        </w:rPr>
        <w:t xml:space="preserve">March 31, 2026  |  16 Active Positions  |  Confidential</w:t>
      </w:r>
    </w:p>
    <w:p>
      <w:pPr>
        <w:pBdr>
          <w:bottom w:val="single" w:color="1A3A5C" w:sz="6" w:space="1"/>
        </w:pBdr>
        <w:spacing w:after="300"/>
      </w:pPr>
    </w:p>
    <w:p>
      <w:pPr>
        <w:spacing w:after="80"/>
      </w:pPr>
      <w:r>
        <w:rPr>
          <w:rFonts w:ascii="Arial" w:cs="Arial" w:eastAsia="Arial" w:hAnsi="Arial"/>
          <w:b/>
          <w:bCs/>
          <w:color w:val="C62828"/>
          <w:sz w:val="20"/>
          <w:szCs w:val="20"/>
        </w:rPr>
        <w:t xml:space="preserve">MASTER THESIS</w:t>
      </w:r>
    </w:p>
    <w:p>
      <w:pPr>
        <w:spacing w:after="60"/>
      </w:pPr>
      <w:r>
        <w:rPr>
          <w:rFonts w:ascii="Arial" w:cs="Arial" w:eastAsia="Arial" w:hAnsi="Arial"/>
          <w:b/>
          <w:bCs/>
          <w:color w:val="1A3A5C"/>
          <w:sz w:val="22"/>
          <w:szCs w:val="22"/>
        </w:rPr>
        <w:t xml:space="preserve">Iran Holds Hormuz — Oil Stays Elevated</w:t>
      </w:r>
    </w:p>
    <w:p>
      <w:pPr>
        <w:spacing w:after="100"/>
      </w:pPr>
      <w:r>
        <w:rPr>
          <w:rFonts w:ascii="Arial" w:cs="Arial" w:eastAsia="Arial" w:hAnsi="Arial"/>
          <w:color w:val="37474F"/>
          <w:sz w:val="18"/>
          <w:szCs w:val="18"/>
        </w:rPr>
        <w:t xml:space="preserve">The portfolio is anchored to the thesis that Iran's control of the Strait of Hormuz keeps oil structurally elevated. This creates tailwinds for energy and defence positions, while the counter-thesis airline and diversification positions hedge against de-escalation. The April 6 deadline for Iran to reopen the Strait is the primary near-term binary event. Oil prices (WTI ~$103, Brent ~$113) have surged over 50% in March 2026 — the largest monthly increase on record.</w:t>
      </w:r>
    </w:p>
    <w:p>
      <w:pPr>
        <w:pBdr>
          <w:bottom w:val="single" w:color="B0BEC5" w:sz="2" w:space="1"/>
        </w:pBdr>
        <w:spacing w:after="300"/>
      </w:pPr>
    </w:p>
    <w:p>
      <w:pPr>
        <w:spacing w:before="200" w:after="150"/>
      </w:pPr>
      <w:r>
        <w:rPr>
          <w:rFonts w:ascii="Arial" w:cs="Arial" w:eastAsia="Arial" w:hAnsi="Arial"/>
          <w:b/>
          <w:bCs/>
          <w:color w:val="1A3A5C"/>
          <w:sz w:val="22"/>
          <w:szCs w:val="22"/>
        </w:rPr>
        <w:t xml:space="preserve">US DEFENCE &amp; AEROSPACE</w:t>
      </w:r>
    </w:p>
    <w:p>
      <w:pPr>
        <w:spacing w:before="120" w:after="60"/>
      </w:pPr>
      <w:r>
        <w:rPr>
          <w:rFonts w:ascii="Arial" w:cs="Arial" w:eastAsia="Arial" w:hAnsi="Arial"/>
          <w:b/>
          <w:bCs/>
          <w:color w:val="1A3A5C"/>
          <w:sz w:val="20"/>
          <w:szCs w:val="20"/>
        </w:rPr>
        <w:t xml:space="preserve">PLTR</w:t>
      </w:r>
      <w:r>
        <w:rPr>
          <w:rFonts w:ascii="Arial" w:cs="Arial" w:eastAsia="Arial" w:hAnsi="Arial"/>
          <w:color w:val="78909C"/>
          <w:sz w:val="20"/>
          <w:szCs w:val="20"/>
        </w:rPr>
        <w:t xml:space="preserve">  —  </w:t>
      </w:r>
      <w:r>
        <w:rPr>
          <w:rFonts w:ascii="Arial" w:cs="Arial" w:eastAsia="Arial" w:hAnsi="Arial"/>
          <w:color w:val="37474F"/>
          <w:sz w:val="20"/>
          <w:szCs w:val="20"/>
        </w:rPr>
        <w:t xml:space="preserve">Palantir Technologies</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AI-powered defence software platform. Golden Dome ($185B missile defence programme) software layer with Anduril. Maven Smart System confirmed as permanent DoD Program of Record. Congressional buying from Armed Services Committee members (Khanna, Cisneros).</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Palantir is the dominant AI/ML platform for US national security. Golden Dome and Maven POR create long-duration, high-margin government revenue streams that are structurally expanding. Defence AI spend is accelerating and Palantir has first-mover lock-in across DoD.</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Q1 2026 earnings May 11 — key catalyst. Golden Dome contract details expected Q2.</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AVAV</w:t>
      </w:r>
      <w:r>
        <w:rPr>
          <w:rFonts w:ascii="Arial" w:cs="Arial" w:eastAsia="Arial" w:hAnsi="Arial"/>
          <w:color w:val="78909C"/>
          <w:sz w:val="20"/>
          <w:szCs w:val="20"/>
        </w:rPr>
        <w:t xml:space="preserve">  —  </w:t>
      </w:r>
      <w:r>
        <w:rPr>
          <w:rFonts w:ascii="Arial" w:cs="Arial" w:eastAsia="Arial" w:hAnsi="Arial"/>
          <w:color w:val="37474F"/>
          <w:sz w:val="20"/>
          <w:szCs w:val="20"/>
        </w:rPr>
        <w:t xml:space="preserve">AeroVironment Inc</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Switchblade loitering munition manufacturer. Direct beneficiary of Iran theatre operations and broader drone warfare doctrine shift. Dominant position in US military tactical drone systems.</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Iran conflict creates immediate demand for precision loitering munitions. AVAV's Switchblade 300/600 are the US military's primary tactical drones. Restocking cycles post-conflict drive multi-year revenue.</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Q1 2026 earnings June 23. Monitor Iran theatre Switchblade deployment news.</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PDYN</w:t>
      </w:r>
      <w:r>
        <w:rPr>
          <w:rFonts w:ascii="Arial" w:cs="Arial" w:eastAsia="Arial" w:hAnsi="Arial"/>
          <w:color w:val="78909C"/>
          <w:sz w:val="20"/>
          <w:szCs w:val="20"/>
        </w:rPr>
        <w:t xml:space="preserve">  —  </w:t>
      </w:r>
      <w:r>
        <w:rPr>
          <w:rFonts w:ascii="Arial" w:cs="Arial" w:eastAsia="Arial" w:hAnsi="Arial"/>
          <w:color w:val="37474F"/>
          <w:sz w:val="20"/>
          <w:szCs w:val="20"/>
        </w:rPr>
        <w:t xml:space="preserve">Palladyne AI Corp</w:t>
      </w:r>
    </w:p>
    <w:p>
      <w:pPr>
        <w:spacing w:after="60"/>
      </w:pPr>
      <w:r>
        <w:rPr>
          <w:rFonts w:ascii="Arial" w:cs="Arial" w:eastAsia="Arial" w:hAnsi="Arial"/>
          <w:color w:val="78909C"/>
          <w:sz w:val="17"/>
          <w:szCs w:val="17"/>
        </w:rPr>
        <w:t xml:space="preserve">Status: </w:t>
      </w:r>
      <w:r>
        <w:rPr>
          <w:rFonts w:ascii="Arial" w:cs="Arial" w:eastAsia="Arial" w:hAnsi="Arial"/>
          <w:b/>
          <w:bCs/>
          <w:color w:val="E65100"/>
          <w:sz w:val="17"/>
          <w:szCs w:val="17"/>
        </w:rPr>
        <w:t xml:space="preserve">HOLD — EARLY STAGE</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SwarmOS autonomous robotics platform. HANGTIME drone contract. Early-stage defence AI company with revenue guidance of $4-27M for 2026.</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Autonomous systems and swarm technology represent next-generation warfare capabilities. PDYN's SwarmOS platform has initial contract validation. High-risk, high-reward position in an emerging defence vertical.</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Q1 2026 earnings May 13. Revenue guidance confirmation critical.</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AMPX</w:t>
      </w:r>
      <w:r>
        <w:rPr>
          <w:rFonts w:ascii="Arial" w:cs="Arial" w:eastAsia="Arial" w:hAnsi="Arial"/>
          <w:color w:val="78909C"/>
          <w:sz w:val="20"/>
          <w:szCs w:val="20"/>
        </w:rPr>
        <w:t xml:space="preserve">  —  </w:t>
      </w:r>
      <w:r>
        <w:rPr>
          <w:rFonts w:ascii="Arial" w:cs="Arial" w:eastAsia="Arial" w:hAnsi="Arial"/>
          <w:color w:val="37474F"/>
          <w:sz w:val="20"/>
          <w:szCs w:val="20"/>
        </w:rPr>
        <w:t xml:space="preserve">Amprius Technologies</w:t>
      </w:r>
    </w:p>
    <w:p>
      <w:pPr>
        <w:spacing w:after="60"/>
      </w:pPr>
      <w:r>
        <w:rPr>
          <w:rFonts w:ascii="Arial" w:cs="Arial" w:eastAsia="Arial" w:hAnsi="Arial"/>
          <w:color w:val="78909C"/>
          <w:sz w:val="17"/>
          <w:szCs w:val="17"/>
        </w:rPr>
        <w:t xml:space="preserve">Status: </w:t>
      </w:r>
      <w:r>
        <w:rPr>
          <w:rFonts w:ascii="Arial" w:cs="Arial" w:eastAsia="Arial" w:hAnsi="Arial"/>
          <w:b/>
          <w:bCs/>
          <w:color w:val="C62828"/>
          <w:sz w:val="17"/>
          <w:szCs w:val="17"/>
        </w:rPr>
        <w:t xml:space="preserve">HOLD — NEAR STOP LEVEL</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Silicon anode lithium-ion battery technology. Ultra-high energy density cells for defence and aerospace applications including drones, satellites, and electric aviation.</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Defence electrification is a structural trend. Amprius has the highest energy density commercial battery cells. Applications span tactical drones (DoD), satellite power systems (space), and eVTOL aircraft.</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Monitoring. Position near protective stop. Technology validation milestones drive re-rating.</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CODA</w:t>
      </w:r>
      <w:r>
        <w:rPr>
          <w:rFonts w:ascii="Arial" w:cs="Arial" w:eastAsia="Arial" w:hAnsi="Arial"/>
          <w:color w:val="78909C"/>
          <w:sz w:val="20"/>
          <w:szCs w:val="20"/>
        </w:rPr>
        <w:t xml:space="preserve">  —  </w:t>
      </w:r>
      <w:r>
        <w:rPr>
          <w:rFonts w:ascii="Arial" w:cs="Arial" w:eastAsia="Arial" w:hAnsi="Arial"/>
          <w:color w:val="37474F"/>
          <w:sz w:val="20"/>
          <w:szCs w:val="20"/>
        </w:rPr>
        <w:t xml:space="preserve">Coda Octopus Group</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Underwater sonar and imaging technology. Real-time 3D subsea visualisation for naval, defence, and commercial marine operations.</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Subsea surveillance and mine detection are critical capabilities in the Hormuz theatre. Coda's 3D sonar technology serves naval operations, underwater infrastructure inspection, and mine countermeasures.</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Monitoring for contract wins. Mine detection capability relevant to Hormuz mine threat.</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SHLD</w:t>
      </w:r>
      <w:r>
        <w:rPr>
          <w:rFonts w:ascii="Arial" w:cs="Arial" w:eastAsia="Arial" w:hAnsi="Arial"/>
          <w:color w:val="78909C"/>
          <w:sz w:val="20"/>
          <w:szCs w:val="20"/>
        </w:rPr>
        <w:t xml:space="preserve">  —  </w:t>
      </w:r>
      <w:r>
        <w:rPr>
          <w:rFonts w:ascii="Arial" w:cs="Arial" w:eastAsia="Arial" w:hAnsi="Arial"/>
          <w:color w:val="37474F"/>
          <w:sz w:val="20"/>
          <w:szCs w:val="20"/>
        </w:rPr>
        <w:t xml:space="preserve">Global X Defence Tech ETF</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 — ETF HEDGE</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Broad defence technology ETF providing diversified exposure to the global defence sector rearmament cycle.</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Portfolio hedge providing sector-wide defence exposure beyond individual stock selection. Captures the European rearmament and NATO spending increase theme across multiple names.</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Ongoing. Tracks with broader defence sector sentiment.</w:t>
      </w:r>
    </w:p>
    <w:p>
      <w:pPr>
        <w:pBdr>
          <w:bottom w:val="single" w:color="E0E0E0" w:sz="1" w:space="1"/>
        </w:pBdr>
        <w:spacing w:after="60"/>
      </w:pPr>
    </w:p>
    <w:p>
      <w:pPr>
        <w:spacing w:before="200" w:after="150"/>
      </w:pPr>
      <w:r>
        <w:rPr>
          <w:rFonts w:ascii="Arial" w:cs="Arial" w:eastAsia="Arial" w:hAnsi="Arial"/>
          <w:b/>
          <w:bCs/>
          <w:color w:val="1A3A5C"/>
          <w:sz w:val="22"/>
          <w:szCs w:val="22"/>
        </w:rPr>
        <w:t xml:space="preserve">EUROPEAN DEFENCE</w:t>
      </w:r>
    </w:p>
    <w:p>
      <w:pPr>
        <w:spacing w:before="120" w:after="60"/>
      </w:pPr>
      <w:r>
        <w:rPr>
          <w:rFonts w:ascii="Arial" w:cs="Arial" w:eastAsia="Arial" w:hAnsi="Arial"/>
          <w:b/>
          <w:bCs/>
          <w:color w:val="1A3A5C"/>
          <w:sz w:val="20"/>
          <w:szCs w:val="20"/>
        </w:rPr>
        <w:t xml:space="preserve">R3NK</w:t>
      </w:r>
      <w:r>
        <w:rPr>
          <w:rFonts w:ascii="Arial" w:cs="Arial" w:eastAsia="Arial" w:hAnsi="Arial"/>
          <w:color w:val="78909C"/>
          <w:sz w:val="20"/>
          <w:szCs w:val="20"/>
        </w:rPr>
        <w:t xml:space="preserve">  —  </w:t>
      </w:r>
      <w:r>
        <w:rPr>
          <w:rFonts w:ascii="Arial" w:cs="Arial" w:eastAsia="Arial" w:hAnsi="Arial"/>
          <w:color w:val="37474F"/>
          <w:sz w:val="20"/>
          <w:szCs w:val="20"/>
        </w:rPr>
        <w:t xml:space="preserve">RENK Group AG (XETRA)</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German defence transmission and powertrain manufacturer. €6.68B order backlog. Primary supplier for Leopard 2 tank drivetrains and European armoured vehicle programmes.</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European rearmament is a multi-year structural theme. Germany's €100B+ defence fund directly benefits RENK. €200M of deferred Q4 orders are expected to appear in Q1 2026 results. 14-analyst consensus target €68 vs current ~€48.</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Q1 2026 earnings May 6 — CRITICAL. Deferred order recognition must materialise.</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LDO.MI</w:t>
      </w:r>
      <w:r>
        <w:rPr>
          <w:rFonts w:ascii="Arial" w:cs="Arial" w:eastAsia="Arial" w:hAnsi="Arial"/>
          <w:color w:val="78909C"/>
          <w:sz w:val="20"/>
          <w:szCs w:val="20"/>
        </w:rPr>
        <w:t xml:space="preserve">  —  </w:t>
      </w:r>
      <w:r>
        <w:rPr>
          <w:rFonts w:ascii="Arial" w:cs="Arial" w:eastAsia="Arial" w:hAnsi="Arial"/>
          <w:color w:val="37474F"/>
          <w:sz w:val="20"/>
          <w:szCs w:val="20"/>
        </w:rPr>
        <w:t xml:space="preserve">Leonardo SpA (Milan)</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Italian defence conglomerate. Helicopters, electronics, cyber, and space. £1B UK MoD contract. Subsidiary DRS linked to $25B SHIELD contract and $151B MDA programme.</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Leonardo has the lowest ceasefire risk of any European defence name due to 30% Italian government shareholding and diversified programme exposure. Revenue guidance FY2026: orders €25B, revenue €21B. Barclays Overweight €68.</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Q1 2026 earnings May 5.</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RR.L</w:t>
      </w:r>
      <w:r>
        <w:rPr>
          <w:rFonts w:ascii="Arial" w:cs="Arial" w:eastAsia="Arial" w:hAnsi="Arial"/>
          <w:color w:val="78909C"/>
          <w:sz w:val="20"/>
          <w:szCs w:val="20"/>
        </w:rPr>
        <w:t xml:space="preserve">  —  </w:t>
      </w:r>
      <w:r>
        <w:rPr>
          <w:rFonts w:ascii="Arial" w:cs="Arial" w:eastAsia="Arial" w:hAnsi="Arial"/>
          <w:color w:val="37474F"/>
          <w:sz w:val="20"/>
          <w:szCs w:val="20"/>
        </w:rPr>
        <w:t xml:space="preserve">Rolls-Royce Holdings (LSE)</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 — EX-DIVIDEND APPROACHING</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Defence engines (Eurofighter, AUKUS submarine reactors) and Small Modular Reactor (SMR) development. Long-duration defence and energy security play.</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AUKUS nuclear submarine programme provides decades-long defence revenue. SMR development positions RR at the intersection of defence and energy security. Dual thesis: defence engine restocking + nuclear energy transition.</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Ex-dividend April 23 — hold before this date. H1 2026 earnings July 30.</w:t>
      </w:r>
    </w:p>
    <w:p>
      <w:pPr>
        <w:pBdr>
          <w:bottom w:val="single" w:color="E0E0E0" w:sz="1" w:space="1"/>
        </w:pBdr>
        <w:spacing w:after="60"/>
      </w:pPr>
    </w:p>
    <w:p>
      <w:pPr>
        <w:spacing w:before="200" w:after="150"/>
      </w:pPr>
      <w:r>
        <w:rPr>
          <w:rFonts w:ascii="Arial" w:cs="Arial" w:eastAsia="Arial" w:hAnsi="Arial"/>
          <w:b/>
          <w:bCs/>
          <w:color w:val="1A3A5C"/>
          <w:sz w:val="22"/>
          <w:szCs w:val="22"/>
        </w:rPr>
        <w:t xml:space="preserve">ENERGY &amp; NUCLEAR</w:t>
      </w:r>
    </w:p>
    <w:p>
      <w:pPr>
        <w:spacing w:before="120" w:after="60"/>
      </w:pPr>
      <w:r>
        <w:rPr>
          <w:rFonts w:ascii="Arial" w:cs="Arial" w:eastAsia="Arial" w:hAnsi="Arial"/>
          <w:b/>
          <w:bCs/>
          <w:color w:val="1A3A5C"/>
          <w:sz w:val="20"/>
          <w:szCs w:val="20"/>
        </w:rPr>
        <w:t xml:space="preserve">VST</w:t>
      </w:r>
      <w:r>
        <w:rPr>
          <w:rFonts w:ascii="Arial" w:cs="Arial" w:eastAsia="Arial" w:hAnsi="Arial"/>
          <w:color w:val="78909C"/>
          <w:sz w:val="20"/>
          <w:szCs w:val="20"/>
        </w:rPr>
        <w:t xml:space="preserve">  —  </w:t>
      </w:r>
      <w:r>
        <w:rPr>
          <w:rFonts w:ascii="Arial" w:cs="Arial" w:eastAsia="Arial" w:hAnsi="Arial"/>
          <w:color w:val="37474F"/>
          <w:sz w:val="20"/>
          <w:szCs w:val="20"/>
        </w:rPr>
        <w:t xml:space="preserve">Vistra Corp</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Largest competitive power generator in the US. AI data centre power demand thesis. Nuclear and natural gas fleet positioned for the energy transition.</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Structural increase in US electricity demand driven by AI data centres and electrification. Vistra's nuclear fleet provides baseload clean power. Energy/AI convergence theme.</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Q1 2026 earnings May 13.</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LEU</w:t>
      </w:r>
      <w:r>
        <w:rPr>
          <w:rFonts w:ascii="Arial" w:cs="Arial" w:eastAsia="Arial" w:hAnsi="Arial"/>
          <w:color w:val="78909C"/>
          <w:sz w:val="20"/>
          <w:szCs w:val="20"/>
        </w:rPr>
        <w:t xml:space="preserve">  —  </w:t>
      </w:r>
      <w:r>
        <w:rPr>
          <w:rFonts w:ascii="Arial" w:cs="Arial" w:eastAsia="Arial" w:hAnsi="Arial"/>
          <w:color w:val="37474F"/>
          <w:sz w:val="20"/>
          <w:szCs w:val="20"/>
        </w:rPr>
        <w:t xml:space="preserve">Centrus Energy Corp</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Only US-licensed HALEU (High-Assay Low-Enriched Uranium) producer. Monopoly position in advanced nuclear fuel for next-generation reactors and SMRs. Palantir AI partnership for Piketon enrichment facility expansion.</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Nuclear energy security is a national priority. LEU is the sole domestic HALEU supplier — a strategic monopoly. The Palantir partnership to deploy AI at Piketon is a cost and efficiency catalyst. Profitable, unlike junior uranium miners.</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Ongoing. Piketon expansion milestones. SMR regulatory approvals drive long-term demand.</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CCJ</w:t>
      </w:r>
      <w:r>
        <w:rPr>
          <w:rFonts w:ascii="Arial" w:cs="Arial" w:eastAsia="Arial" w:hAnsi="Arial"/>
          <w:color w:val="78909C"/>
          <w:sz w:val="20"/>
          <w:szCs w:val="20"/>
        </w:rPr>
        <w:t xml:space="preserve">  —  </w:t>
      </w:r>
      <w:r>
        <w:rPr>
          <w:rFonts w:ascii="Arial" w:cs="Arial" w:eastAsia="Arial" w:hAnsi="Arial"/>
          <w:color w:val="37474F"/>
          <w:sz w:val="20"/>
          <w:szCs w:val="20"/>
        </w:rPr>
        <w:t xml:space="preserve">Cameco Corp</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World's largest publicly traded uranium producer. Controls 18% of global uranium production. Nuclear energy security and SMR buildout demand driver.</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Uranium supply is structurally constrained while demand is increasing from reactor restarts and new SMR construction globally. Cameco is the blue-chip uranium exposure with production scale and long-term contracts.</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Ongoing. Uranium price and nuclear policy developments.</w:t>
      </w:r>
    </w:p>
    <w:p>
      <w:pPr>
        <w:pBdr>
          <w:bottom w:val="single" w:color="E0E0E0" w:sz="1" w:space="1"/>
        </w:pBdr>
        <w:spacing w:after="60"/>
      </w:pPr>
    </w:p>
    <w:p>
      <w:pPr>
        <w:spacing w:before="200" w:after="150"/>
      </w:pPr>
      <w:r>
        <w:rPr>
          <w:rFonts w:ascii="Arial" w:cs="Arial" w:eastAsia="Arial" w:hAnsi="Arial"/>
          <w:b/>
          <w:bCs/>
          <w:color w:val="1A3A5C"/>
          <w:sz w:val="22"/>
          <w:szCs w:val="22"/>
        </w:rPr>
        <w:t xml:space="preserve">COUNTER-THESIS / DIVERSIFICATION</w:t>
      </w:r>
    </w:p>
    <w:p>
      <w:pPr>
        <w:spacing w:before="120" w:after="60"/>
      </w:pPr>
      <w:r>
        <w:rPr>
          <w:rFonts w:ascii="Arial" w:cs="Arial" w:eastAsia="Arial" w:hAnsi="Arial"/>
          <w:b/>
          <w:bCs/>
          <w:color w:val="1A3A5C"/>
          <w:sz w:val="20"/>
          <w:szCs w:val="20"/>
        </w:rPr>
        <w:t xml:space="preserve">IAG.L</w:t>
      </w:r>
      <w:r>
        <w:rPr>
          <w:rFonts w:ascii="Arial" w:cs="Arial" w:eastAsia="Arial" w:hAnsi="Arial"/>
          <w:color w:val="78909C"/>
          <w:sz w:val="20"/>
          <w:szCs w:val="20"/>
        </w:rPr>
        <w:t xml:space="preserve">  —  </w:t>
      </w:r>
      <w:r>
        <w:rPr>
          <w:rFonts w:ascii="Arial" w:cs="Arial" w:eastAsia="Arial" w:hAnsi="Arial"/>
          <w:color w:val="37474F"/>
          <w:sz w:val="20"/>
          <w:szCs w:val="20"/>
        </w:rPr>
        <w:t xml:space="preserve">Intl Consolidated Airlines Group (LSE)</w:t>
      </w:r>
    </w:p>
    <w:p>
      <w:pPr>
        <w:spacing w:after="60"/>
      </w:pPr>
      <w:r>
        <w:rPr>
          <w:rFonts w:ascii="Arial" w:cs="Arial" w:eastAsia="Arial" w:hAnsi="Arial"/>
          <w:color w:val="78909C"/>
          <w:sz w:val="17"/>
          <w:szCs w:val="17"/>
        </w:rPr>
        <w:t xml:space="preserve">Status: </w:t>
      </w:r>
      <w:r>
        <w:rPr>
          <w:rFonts w:ascii="Arial" w:cs="Arial" w:eastAsia="Arial" w:hAnsi="Arial"/>
          <w:b/>
          <w:bCs/>
          <w:color w:val="C62828"/>
          <w:sz w:val="17"/>
          <w:szCs w:val="17"/>
        </w:rPr>
        <w:t xml:space="preserve">HOLD — BINARY EVENT APPROACHING</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PEACE DIVIDEND TRADE. If de-escalation occurs, oil drops and airlines re-rate sharply. IAG is well fuel-hedged with €500M buyback active. Barclays Overweight.</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Counter-thesis position designed to benefit from the opposite scenario to the core oil/defence book. If ceasefire or Hormuz reopening drives oil down 15%+, airlines are the fastest re-rating sector. Provides portfolio balance against pure escalation positioning.</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CRITICAL: April 6, 2026 (8PM ET / midnight UAE). Trump energy strike pause expires. If strikes resume — EXIT. If extended or ceasefire framework — HOLD.</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RCL</w:t>
      </w:r>
      <w:r>
        <w:rPr>
          <w:rFonts w:ascii="Arial" w:cs="Arial" w:eastAsia="Arial" w:hAnsi="Arial"/>
          <w:color w:val="78909C"/>
          <w:sz w:val="20"/>
          <w:szCs w:val="20"/>
        </w:rPr>
        <w:t xml:space="preserve">  —  </w:t>
      </w:r>
      <w:r>
        <w:rPr>
          <w:rFonts w:ascii="Arial" w:cs="Arial" w:eastAsia="Arial" w:hAnsi="Arial"/>
          <w:color w:val="37474F"/>
          <w:sz w:val="20"/>
          <w:szCs w:val="20"/>
        </w:rPr>
        <w:t xml:space="preserve">Royal Caribbean Cruises</w:t>
      </w:r>
    </w:p>
    <w:p>
      <w:pPr>
        <w:spacing w:after="60"/>
      </w:pPr>
      <w:r>
        <w:rPr>
          <w:rFonts w:ascii="Arial" w:cs="Arial" w:eastAsia="Arial" w:hAnsi="Arial"/>
          <w:color w:val="78909C"/>
          <w:sz w:val="17"/>
          <w:szCs w:val="17"/>
        </w:rPr>
        <w:t xml:space="preserve">Status: </w:t>
      </w:r>
      <w:r>
        <w:rPr>
          <w:rFonts w:ascii="Arial" w:cs="Arial" w:eastAsia="Arial" w:hAnsi="Arial"/>
          <w:b/>
          <w:bCs/>
          <w:color w:val="1A3A5C"/>
          <w:sz w:val="17"/>
          <w:szCs w:val="17"/>
        </w:rPr>
        <w:t xml:space="preserve">HOLD</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Premium cruise operator benefiting from consumer travel demand. Oil cost sensitivity creates buying opportunities during conflict-driven oil spikes.</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Travel and leisure sector position. RCL has pricing power and strong forward bookings. Oil-driven selloffs create entry opportunities in fundamentally strong consumer discretionary names.</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Monitoring. Watch CCL Q1 earnings reaction for sector read.</w:t>
      </w:r>
    </w:p>
    <w:p>
      <w:pPr>
        <w:pBdr>
          <w:bottom w:val="single" w:color="E0E0E0" w:sz="1" w:space="1"/>
        </w:pBdr>
        <w:spacing w:after="60"/>
      </w:pPr>
    </w:p>
    <w:p>
      <w:pPr>
        <w:spacing w:before="120" w:after="60"/>
      </w:pPr>
      <w:r>
        <w:rPr>
          <w:rFonts w:ascii="Arial" w:cs="Arial" w:eastAsia="Arial" w:hAnsi="Arial"/>
          <w:b/>
          <w:bCs/>
          <w:color w:val="1A3A5C"/>
          <w:sz w:val="20"/>
          <w:szCs w:val="20"/>
        </w:rPr>
        <w:t xml:space="preserve">AMZN</w:t>
      </w:r>
      <w:r>
        <w:rPr>
          <w:rFonts w:ascii="Arial" w:cs="Arial" w:eastAsia="Arial" w:hAnsi="Arial"/>
          <w:color w:val="78909C"/>
          <w:sz w:val="20"/>
          <w:szCs w:val="20"/>
        </w:rPr>
        <w:t xml:space="preserve">  —  </w:t>
      </w:r>
      <w:r>
        <w:rPr>
          <w:rFonts w:ascii="Arial" w:cs="Arial" w:eastAsia="Arial" w:hAnsi="Arial"/>
          <w:color w:val="37474F"/>
          <w:sz w:val="20"/>
          <w:szCs w:val="20"/>
        </w:rPr>
        <w:t xml:space="preserve">Amazon.com Inc</w:t>
      </w:r>
    </w:p>
    <w:p>
      <w:pPr>
        <w:spacing w:after="60"/>
      </w:pPr>
      <w:r>
        <w:rPr>
          <w:rFonts w:ascii="Arial" w:cs="Arial" w:eastAsia="Arial" w:hAnsi="Arial"/>
          <w:color w:val="78909C"/>
          <w:sz w:val="17"/>
          <w:szCs w:val="17"/>
        </w:rPr>
        <w:t xml:space="preserve">Status: </w:t>
      </w:r>
      <w:r>
        <w:rPr>
          <w:rFonts w:ascii="Arial" w:cs="Arial" w:eastAsia="Arial" w:hAnsi="Arial"/>
          <w:b/>
          <w:bCs/>
          <w:color w:val="E65100"/>
          <w:sz w:val="17"/>
          <w:szCs w:val="17"/>
        </w:rPr>
        <w:t xml:space="preserve">HOLD — NEW POSITION</w:t>
      </w:r>
    </w:p>
    <w:p>
      <w:pPr>
        <w:spacing w:after="40"/>
      </w:pPr>
      <w:r>
        <w:rPr>
          <w:rFonts w:ascii="Arial" w:cs="Arial" w:eastAsia="Arial" w:hAnsi="Arial"/>
          <w:b/>
          <w:bCs/>
          <w:color w:val="546E7A"/>
          <w:sz w:val="18"/>
          <w:szCs w:val="18"/>
        </w:rPr>
        <w:t xml:space="preserve">Thesis: </w:t>
      </w:r>
      <w:r>
        <w:rPr>
          <w:rFonts w:ascii="Arial" w:cs="Arial" w:eastAsia="Arial" w:hAnsi="Arial"/>
          <w:color w:val="37474F"/>
          <w:sz w:val="18"/>
          <w:szCs w:val="18"/>
        </w:rPr>
        <w:t xml:space="preserve">AWS cloud dominance (28% market share, $244B backlog). AI infrastructure capex of $200B in 2026. Advertising revenue growing 23% YoY. 58 analysts Strong Buy, consensus target $287.</w:t>
      </w:r>
    </w:p>
    <w:p>
      <w:pPr>
        <w:spacing w:after="40"/>
      </w:pPr>
      <w:r>
        <w:rPr>
          <w:rFonts w:ascii="Arial" w:cs="Arial" w:eastAsia="Arial" w:hAnsi="Arial"/>
          <w:b/>
          <w:bCs/>
          <w:color w:val="546E7A"/>
          <w:sz w:val="18"/>
          <w:szCs w:val="18"/>
        </w:rPr>
        <w:t xml:space="preserve">Rationale: </w:t>
      </w:r>
      <w:r>
        <w:rPr>
          <w:rFonts w:ascii="Arial" w:cs="Arial" w:eastAsia="Arial" w:hAnsi="Arial"/>
          <w:color w:val="37474F"/>
          <w:sz w:val="18"/>
          <w:szCs w:val="18"/>
        </w:rPr>
        <w:t xml:space="preserve">Diversification away from defence/energy concentration. AMZN provides large-cap quality growth exposure that benefits from broad market recovery. Counter-cyclical to oil thesis — if de-escalation occurs, broad market and tech rally.</w:t>
      </w:r>
    </w:p>
    <w:p>
      <w:pPr>
        <w:spacing w:after="120"/>
      </w:pPr>
      <w:r>
        <w:rPr>
          <w:rFonts w:ascii="Arial" w:cs="Arial" w:eastAsia="Arial" w:hAnsi="Arial"/>
          <w:b/>
          <w:bCs/>
          <w:color w:val="546E7A"/>
          <w:sz w:val="18"/>
          <w:szCs w:val="18"/>
        </w:rPr>
        <w:t xml:space="preserve">Timing: </w:t>
      </w:r>
      <w:r>
        <w:rPr>
          <w:rFonts w:ascii="Arial" w:cs="Arial" w:eastAsia="Arial" w:hAnsi="Arial"/>
          <w:color w:val="37474F"/>
          <w:sz w:val="18"/>
          <w:szCs w:val="18"/>
        </w:rPr>
        <w:t xml:space="preserve">Q1 2026 earnings April 23. AWS growth and AI capex guidance are key metrics.</w:t>
      </w:r>
    </w:p>
    <w:p>
      <w:pPr>
        <w:pBdr>
          <w:bottom w:val="single" w:color="E0E0E0" w:sz="1" w:space="1"/>
        </w:pBdr>
        <w:spacing w:after="60"/>
      </w:pPr>
    </w:p>
    <w:p>
      <w:r>
        <w:br w:type="page"/>
      </w:r>
    </w:p>
    <w:p>
      <w:pPr>
        <w:spacing w:after="150"/>
      </w:pPr>
      <w:r>
        <w:rPr>
          <w:rFonts w:ascii="Arial" w:cs="Arial" w:eastAsia="Arial" w:hAnsi="Arial"/>
          <w:b/>
          <w:bCs/>
          <w:color w:val="1A3A5C"/>
          <w:sz w:val="22"/>
          <w:szCs w:val="22"/>
        </w:rPr>
        <w:t xml:space="preserve">KEY CATALYST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B0BEC5" w:sz="1"/>
              <w:left w:val="single" w:color="B0BEC5" w:sz="1"/>
              <w:bottom w:val="single" w:color="B0BEC5" w:sz="1"/>
              <w:right w:val="single" w:color="B0BEC5" w:sz="1"/>
            </w:tcBorders>
            <w:shd w:fill="1A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6360"/>
            <w:tcBorders>
              <w:top w:val="single" w:color="B0BEC5" w:sz="1"/>
              <w:left w:val="single" w:color="B0BEC5" w:sz="1"/>
              <w:bottom w:val="single" w:color="B0BEC5" w:sz="1"/>
              <w:right w:val="single" w:color="B0BEC5" w:sz="1"/>
            </w:tcBorders>
            <w:shd w:fill="1A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w:t>
            </w:r>
          </w:p>
        </w:tc>
        <w:tc>
          <w:tcPr>
            <w:tcW w:type="dxa" w:w="1800"/>
            <w:tcBorders>
              <w:top w:val="single" w:color="B0BEC5" w:sz="1"/>
              <w:left w:val="single" w:color="B0BEC5" w:sz="1"/>
              <w:bottom w:val="single" w:color="B0BEC5" w:sz="1"/>
              <w:right w:val="single" w:color="B0BEC5" w:sz="1"/>
            </w:tcBorders>
            <w:shd w:fill="1A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sz w:val="18"/>
                <w:szCs w:val="18"/>
              </w:rPr>
              <w:t xml:space="preserve">6 Apr</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Trump energy strike pause expires (8PM ET / midnight UAE). BINARY event for entire portfolio.</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C62828"/>
                <w:sz w:val="17"/>
                <w:szCs w:val="17"/>
              </w:rPr>
              <w:t xml:space="preserve">CRITICAL</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sz w:val="18"/>
                <w:szCs w:val="18"/>
              </w:rPr>
              <w:t xml:space="preserve">23 Apr</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AMZN Q1 2026 earnings — AWS growth and AI capex guidance</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5100"/>
                <w:sz w:val="17"/>
                <w:szCs w:val="17"/>
              </w:rPr>
              <w:t xml:space="preserve">HIGH</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sz w:val="18"/>
                <w:szCs w:val="18"/>
              </w:rPr>
              <w:t xml:space="preserve">23 Apr</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RR.L ex-dividend date — hold position before this date</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5100"/>
                <w:sz w:val="17"/>
                <w:szCs w:val="17"/>
              </w:rPr>
              <w:t xml:space="preserve">HIGH</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sz w:val="18"/>
                <w:szCs w:val="18"/>
              </w:rPr>
              <w:t xml:space="preserve">5 May</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LDO.MI Q1 2026 earnings</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5100"/>
                <w:sz w:val="17"/>
                <w:szCs w:val="17"/>
              </w:rPr>
              <w:t xml:space="preserve">HIGH</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sz w:val="18"/>
                <w:szCs w:val="18"/>
              </w:rPr>
              <w:t xml:space="preserve">6 May</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R3NK Q1 2026 earnings — deferred Q4 orders must appear</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C62828"/>
                <w:sz w:val="17"/>
                <w:szCs w:val="17"/>
              </w:rPr>
              <w:t xml:space="preserve">CRITICAL</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sz w:val="18"/>
                <w:szCs w:val="18"/>
              </w:rPr>
              <w:t xml:space="preserve">7 May</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AMPX Q1 2026 earnings</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546E7A"/>
                <w:sz w:val="17"/>
                <w:szCs w:val="17"/>
              </w:rPr>
              <w:t xml:space="preserve">MEDIUM</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sz w:val="18"/>
                <w:szCs w:val="18"/>
              </w:rPr>
              <w:t xml:space="preserve">11 May</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PLTR Q1 2026 earnings — Golden Dome + Maven POR catalyst</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C62828"/>
                <w:sz w:val="17"/>
                <w:szCs w:val="17"/>
              </w:rPr>
              <w:t xml:space="preserve">CRITICAL</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sz w:val="18"/>
                <w:szCs w:val="18"/>
              </w:rPr>
              <w:t xml:space="preserve">13 May</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VST + PDYN Q1 2026 earnings</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546E7A"/>
                <w:sz w:val="17"/>
                <w:szCs w:val="17"/>
              </w:rPr>
              <w:t xml:space="preserve">MEDIUM</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sz w:val="18"/>
                <w:szCs w:val="18"/>
              </w:rPr>
              <w:t xml:space="preserve">23 Jun</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AVAV Q1 2026 earnings</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5100"/>
                <w:sz w:val="17"/>
                <w:szCs w:val="17"/>
              </w:rPr>
              <w:t xml:space="preserve">HIGH</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sz w:val="18"/>
                <w:szCs w:val="18"/>
              </w:rPr>
              <w:t xml:space="preserve">30 Jul</w:t>
            </w:r>
          </w:p>
        </w:tc>
        <w:tc>
          <w:tcPr>
            <w:tcW w:type="dxa" w:w="636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sz w:val="18"/>
                <w:szCs w:val="18"/>
              </w:rPr>
              <w:t xml:space="preserve">RR.L H1 2026 earnings</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r>
              <w:rPr>
                <w:rFonts w:ascii="Arial" w:cs="Arial" w:eastAsia="Arial" w:hAnsi="Arial"/>
                <w:b/>
                <w:bCs/>
                <w:color w:val="E65100"/>
                <w:sz w:val="17"/>
                <w:szCs w:val="17"/>
              </w:rPr>
              <w:t xml:space="preserve">HIGH</w:t>
            </w:r>
          </w:p>
        </w:tc>
      </w:tr>
    </w:tbl>
    <w:p>
      <w:pPr>
        <w:spacing w:before="400" w:after="100"/>
      </w:pPr>
      <w:r>
        <w:rPr>
          <w:rFonts w:ascii="Arial" w:cs="Arial" w:eastAsia="Arial" w:hAnsi="Arial"/>
          <w:b/>
          <w:bCs/>
          <w:color w:val="78909C"/>
          <w:sz w:val="18"/>
          <w:szCs w:val="18"/>
        </w:rPr>
        <w:t xml:space="preserve">DISCLAIMER</w:t>
      </w:r>
    </w:p>
    <w:p>
      <w:pPr>
        <w:spacing w:after="100"/>
      </w:pPr>
      <w:r>
        <w:rPr>
          <w:rFonts w:ascii="Arial" w:cs="Arial" w:eastAsia="Arial" w:hAnsi="Arial"/>
          <w:color w:val="90A4AE"/>
          <w:sz w:val="16"/>
          <w:szCs w:val="16"/>
        </w:rPr>
        <w:t xml:space="preserve">This document is for informational purposes only and does not constitute investment advice. Past performance is not indicative of future results. All investments carry risk, including the potential loss of principal. The views expressed reflect the author's current assessment and are subject to change without notice. This document is confidential and intended solely for the recipient.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B0BEC5"/>
        <w:sz w:val="14"/>
        <w:szCs w:val="14"/>
      </w:rPr>
      <w:t xml:space="preserve">Confidential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B0BEC5"/>
        <w:sz w:val="14"/>
        <w:szCs w:val="14"/>
      </w:rPr>
      <w:t xml:space="preserve">PORTFOLIO BRIEFING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2026-03-31T07:42:36.659Z</dcterms:created>
  <dcterms:modified xsi:type="dcterms:W3CDTF">2026-03-31T07:42:36.660Z</dcterms:modified>
</cp:coreProperties>
</file>

<file path=docProps/custom.xml><?xml version="1.0" encoding="utf-8"?>
<Properties xmlns="http://schemas.openxmlformats.org/officeDocument/2006/custom-properties" xmlns:vt="http://schemas.openxmlformats.org/officeDocument/2006/docPropsVTypes"/>
</file>