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44"/>
          <w:szCs w:val="44"/>
        </w:rPr>
        <w:t xml:space="preserve">PORTFOLIO BRIEFING</w:t>
      </w:r>
    </w:p>
    <w:p>
      <w:pPr>
        <w:pBdr>
          <w:bottom w:val="single" w:color="2E75B6" w:sz="6" w:space="4"/>
        </w:pBdr>
        <w:spacing w:before="0" w:after="60"/>
      </w:pPr>
      <w:r>
        <w:rPr>
          <w:rFonts w:ascii="Arial" w:cs="Arial" w:eastAsia="Arial" w:hAnsi="Arial"/>
          <w:color w:val="4A5568"/>
          <w:sz w:val="24"/>
          <w:szCs w:val="24"/>
        </w:rPr>
        <w:t xml:space="preserve">Current Positions — Investment Rationale &amp; Upside Analysis</w:t>
      </w:r>
      <w:r>
        <w:rPr>
          <w:rFonts w:ascii="Arial" w:cs="Arial" w:eastAsia="Arial" w:hAnsi="Arial"/>
          <w:i/>
          <w:iCs/>
          <w:color w:val="4A5568"/>
          <w:sz w:val="20"/>
          <w:szCs w:val="20"/>
        </w:rPr>
        <w:t xml:space="preserve">     27 March 2026</w:t>
      </w:r>
    </w:p>
    <w:p>
      <w:pPr>
        <w:spacing w:before="120" w:after="80"/>
      </w:pPr>
    </w:p>
    <w:p>
      <w:pPr>
        <w:spacing w:before="0" w:after="60"/>
      </w:pPr>
      <w:r>
        <w:rPr>
          <w:rFonts w:ascii="Arial" w:cs="Arial" w:eastAsia="Arial" w:hAnsi="Arial"/>
          <w:i/>
          <w:iCs/>
          <w:color w:val="4A5568"/>
          <w:sz w:val="19"/>
          <w:szCs w:val="19"/>
        </w:rPr>
        <w:t xml:space="preserve">This briefing summarises the current portfolio positions, investment thesis, and upside potential for each holding. Positions are grouped by theme. Analyst price targets and upside percentages are sourced from current sell-side consensus. This document does not contain position sizing or entry price information.</w:t>
      </w:r>
    </w:p>
    <w:p>
      <w:pPr>
        <w:spacing w:before="80" w:after="160"/>
      </w:pPr>
    </w:p>
    <w:p>
      <w:pPr>
        <w:pBdr>
          <w:bottom w:val="single" w:color="2E75B6" w:sz="4" w:space="4"/>
        </w:pBdr>
        <w:spacing w:before="280" w:after="100"/>
      </w:pPr>
      <w:r>
        <w:rPr>
          <w:rFonts w:ascii="Arial" w:cs="Arial" w:eastAsia="Arial" w:hAnsi="Arial"/>
          <w:b/>
          <w:bCs/>
          <w:color w:val="2E5C8A"/>
          <w:sz w:val="22"/>
          <w:szCs w:val="22"/>
        </w:rPr>
        <w:t xml:space="preserve">US DEFENCE &amp; TECHNOLOGY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AVAV  </w:t>
            </w:r>
            <w:r>
              <w:rPr>
                <w:rFonts w:ascii="Arial" w:cs="Arial" w:eastAsia="Arial" w:hAnsi="Arial"/>
                <w:color w:val="B8D4F0"/>
                <w:sz w:val="19"/>
                <w:szCs w:val="19"/>
              </w:rPr>
              <w:t xml:space="preserve">AeroVironment Inc</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$197.91</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$311</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Maker of Switchblade loitering munitions and tactical drones. Direct beneficiary of elevated Iran conflict demand — Switchblade is operationally deployed across multiple conflict theatres. Pentagon procurement accelerating. US Army largest customer. Thesis driven by sustained conflict requiring drone attrition replenishment.</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Jun 23</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CODA  </w:t>
            </w:r>
            <w:r>
              <w:rPr>
                <w:rFonts w:ascii="Arial" w:cs="Arial" w:eastAsia="Arial" w:hAnsi="Arial"/>
                <w:color w:val="B8D4F0"/>
                <w:sz w:val="19"/>
                <w:szCs w:val="19"/>
              </w:rPr>
              <w:t xml:space="preserve">Coda Octopus Group Inc</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$11.55</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$22</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Marine technology specialist providing real-time 3D sonar, underwater imaging, and ISR (Intelligence, Surveillance, Reconnaissance) systems for naval and defence applications. The Hormuz crisis has directly elevated the relevance of underwater situational awareness — mine detection, submarine tracking, and vessel security are all operational priorities in the current Gulf environment. CODA's Echoscope sonar technology is used by navies and defence contractors globally. Small-cap with significant upside to analyst target. Stop protection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Iran naval conflict / contract news</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KTOS  </w:t>
            </w:r>
            <w:r>
              <w:rPr>
                <w:rFonts w:ascii="Arial" w:cs="Arial" w:eastAsia="Arial" w:hAnsi="Arial"/>
                <w:color w:val="B8D4F0"/>
                <w:sz w:val="19"/>
                <w:szCs w:val="19"/>
              </w:rPr>
              <w:t xml:space="preserve">Kratos Defense &amp; Security</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$75.97</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$125</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Pure-play in autonomous drones (Valkyrie), hypersonic vehicles, Counter-UAS, and satellite ground systems. Orbit Technologies acquisition closed March 2 expanding satellite comms footprint. $49M Naval Surface Warfare Center contract awarded today. MACH-TB 2.0 hypersonic test programme driving revenue growth. Air Force CCA Increment 2 a major upcoming catalyst. Analyst range $115–$134.</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6 / Valkyrie CCA</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PLTR  </w:t>
            </w:r>
            <w:r>
              <w:rPr>
                <w:rFonts w:ascii="Arial" w:cs="Arial" w:eastAsia="Arial" w:hAnsi="Arial"/>
                <w:color w:val="B8D4F0"/>
                <w:sz w:val="19"/>
                <w:szCs w:val="19"/>
              </w:rPr>
              <w:t xml:space="preserve">Palantir Technologies</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 AI</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$147.56</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$194</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AI software backbone of the US military. Maven Smart System designated Pentagon Program of Record March 20 — locking in multi-year funding. Selected as core developer for $185B Golden Dome missile defence with Anduril. Q4 2025 revenue +70% YoY to $1.41B; US commercial revenue +137%. 2026 guidance $7.2B. Bain &amp; Company partnership expanded March 26. Rosenblatt target $200, Citigroup $260.</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11</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AMPX  </w:t>
            </w:r>
            <w:r>
              <w:rPr>
                <w:rFonts w:ascii="Arial" w:cs="Arial" w:eastAsia="Arial" w:hAnsi="Arial"/>
                <w:color w:val="B8D4F0"/>
                <w:sz w:val="19"/>
                <w:szCs w:val="19"/>
              </w:rPr>
              <w:t xml:space="preserve">Amprius Technologies</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Tech</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$17.46</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$32</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+83%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Silicon anode battery technology targeting defence and aviation. Significantly higher energy density than conventional lithium-ion — critical for extended drone endurance. Early-stage but with defence programme relationships. Stop protection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7</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ONDS  </w:t>
            </w:r>
            <w:r>
              <w:rPr>
                <w:rFonts w:ascii="Arial" w:cs="Arial" w:eastAsia="Arial" w:hAnsi="Arial"/>
                <w:color w:val="B8D4F0"/>
                <w:sz w:val="19"/>
                <w:szCs w:val="19"/>
              </w:rPr>
              <w:t xml:space="preserve">Ondas Holdings Inc</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 Autonomous</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$9.42</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$19</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+102%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Autonomous drone and rail intelligence systems. March 9: announced $175M acquisition of Mistral Inc, a US defence prime contractor with $1B+ in existing DoD IDIQ contracts covering weapon systems, drones, and unmanned platforms. Provides US Army and Special Operations contract access. Speculative but structurally transformative if integration succeeds. Small position, stop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18 / Mistral Close Q2</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12–24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PDYN  </w:t>
            </w:r>
            <w:r>
              <w:rPr>
                <w:rFonts w:ascii="Arial" w:cs="Arial" w:eastAsia="Arial" w:hAnsi="Arial"/>
                <w:color w:val="B8D4F0"/>
                <w:sz w:val="19"/>
                <w:szCs w:val="19"/>
              </w:rPr>
              <w:t xml:space="preserve">Palladyne AI Corp</w:t>
            </w:r>
          </w:p>
        </w:tc>
        <w:tc>
          <w:tcPr>
            <w:tcW w:type="dxa" w:w="22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vAlign w:val="center"/>
          </w:tcPr>
          <w:p>
            <w:pPr>
              <w:jc w:val="center"/>
            </w:pPr>
            <w:r>
              <w:rPr>
                <w:rFonts w:ascii="Arial" w:cs="Arial" w:eastAsia="Arial" w:hAnsi="Arial"/>
                <w:b/>
                <w:bCs/>
                <w:color w:val="1A4A7A"/>
                <w:sz w:val="17"/>
                <w:szCs w:val="17"/>
              </w:rPr>
              <w:t xml:space="preserve">US Defence / AI</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$6.30</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Binary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SwarmOS AI for autonomous drone coordination. HANGTIME US Army contract provides near-term revenue visibility. Revenue guidance $4–27M for 2026 — wide range reflects early-stage commercial position. Speculative allocation. Stop protection in place.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13 / HANGTIME contract</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12–18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p>
      <w:pPr>
        <w:pBdr>
          <w:bottom w:val="single" w:color="2E75B6" w:sz="4" w:space="4"/>
        </w:pBdr>
        <w:spacing w:before="280" w:after="100"/>
      </w:pPr>
      <w:r>
        <w:rPr>
          <w:rFonts w:ascii="Arial" w:cs="Arial" w:eastAsia="Arial" w:hAnsi="Arial"/>
          <w:b/>
          <w:bCs/>
          <w:color w:val="2E5C8A"/>
          <w:sz w:val="22"/>
          <w:szCs w:val="22"/>
        </w:rPr>
        <w:t xml:space="preserve">ENERGY, NUCLEAR &amp; POWER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VST  </w:t>
            </w:r>
            <w:r>
              <w:rPr>
                <w:rFonts w:ascii="Arial" w:cs="Arial" w:eastAsia="Arial" w:hAnsi="Arial"/>
                <w:color w:val="B8D4F0"/>
                <w:sz w:val="19"/>
                <w:szCs w:val="19"/>
              </w:rPr>
              <w:t xml:space="preserve">Vistra Corp</w:t>
            </w:r>
          </w:p>
        </w:tc>
        <w:tc>
          <w:tcPr>
            <w:tcW w:type="dxa" w:w="2200"/>
            <w:tcBorders>
              <w:top w:val="none" w:color="FFFFFF" w:sz="0"/>
              <w:left w:val="none" w:color="FFFFFF" w:sz="0"/>
              <w:bottom w:val="none" w:color="FFFFFF" w:sz="0"/>
              <w:right w:val="none" w:color="FFFFFF" w:sz="0"/>
            </w:tcBorders>
            <w:shd w:fill="FFF8E1" w:val="clear"/>
            <w:tcMar>
              <w:top w:type="dxa" w:w="100"/>
              <w:left w:type="dxa" w:w="100"/>
              <w:bottom w:type="dxa" w:w="100"/>
              <w:right w:type="dxa" w:w="100"/>
            </w:tcMar>
            <w:vAlign w:val="center"/>
          </w:tcPr>
          <w:p>
            <w:pPr>
              <w:jc w:val="center"/>
            </w:pPr>
            <w:r>
              <w:rPr>
                <w:rFonts w:ascii="Arial" w:cs="Arial" w:eastAsia="Arial" w:hAnsi="Arial"/>
                <w:b/>
                <w:bCs/>
                <w:color w:val="7B4F00"/>
                <w:sz w:val="17"/>
                <w:szCs w:val="17"/>
              </w:rPr>
              <w:t xml:space="preserve">Energy / AI Power</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$153.06</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Structural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Largest competitive power generator in the US. Dual thesis: elevated energy prices from Iran conflict and structural data centre electricity demand from AI. Nuclear and gas generation fleet provides low-cost baseload supply into power markets priced at all-time highs. Profitable and cash generative.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13</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12–24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LEU  </w:t>
            </w:r>
            <w:r>
              <w:rPr>
                <w:rFonts w:ascii="Arial" w:cs="Arial" w:eastAsia="Arial" w:hAnsi="Arial"/>
                <w:color w:val="B8D4F0"/>
                <w:sz w:val="19"/>
                <w:szCs w:val="19"/>
              </w:rPr>
              <w:t xml:space="preserve">Centrus Energy Corp</w:t>
            </w:r>
          </w:p>
        </w:tc>
        <w:tc>
          <w:tcPr>
            <w:tcW w:type="dxa" w:w="2200"/>
            <w:tcBorders>
              <w:top w:val="none" w:color="FFFFFF" w:sz="0"/>
              <w:left w:val="none" w:color="FFFFFF" w:sz="0"/>
              <w:bottom w:val="none" w:color="FFFFFF" w:sz="0"/>
              <w:right w:val="none" w:color="FFFFFF" w:sz="0"/>
            </w:tcBorders>
            <w:shd w:fill="FFF8E1" w:val="clear"/>
            <w:tcMar>
              <w:top w:type="dxa" w:w="100"/>
              <w:left w:type="dxa" w:w="100"/>
              <w:bottom w:type="dxa" w:w="100"/>
              <w:right w:type="dxa" w:w="100"/>
            </w:tcMar>
            <w:vAlign w:val="center"/>
          </w:tcPr>
          <w:p>
            <w:pPr>
              <w:jc w:val="center"/>
            </w:pPr>
            <w:r>
              <w:rPr>
                <w:rFonts w:ascii="Arial" w:cs="Arial" w:eastAsia="Arial" w:hAnsi="Arial"/>
                <w:b/>
                <w:bCs/>
                <w:color w:val="7B4F00"/>
                <w:sz w:val="17"/>
                <w:szCs w:val="17"/>
              </w:rPr>
              <w:t xml:space="preserve">Nuclear / Energy</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$193.29</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Structural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Only US-licensed producer of High-Assay Low-Enriched Uranium (HALEU) — the fuel required for next-generation small modular reactors. Profitable and debt-light. Monopoly position in a fuel type with zero near-term substitutes. NATO nations accelerating SMR deployment reduces Russian nuclear fuel dependency. Europe's 46 bcm gas storage (lowest since 2022) reinforces the case for nuclear baseload.</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 American</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SMR contract news / policy</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24–36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UEC  </w:t>
            </w:r>
            <w:r>
              <w:rPr>
                <w:rFonts w:ascii="Arial" w:cs="Arial" w:eastAsia="Arial" w:hAnsi="Arial"/>
                <w:color w:val="B8D4F0"/>
                <w:sz w:val="19"/>
                <w:szCs w:val="19"/>
              </w:rPr>
              <w:t xml:space="preserve">Uranium Energy Corp</w:t>
            </w:r>
          </w:p>
        </w:tc>
        <w:tc>
          <w:tcPr>
            <w:tcW w:type="dxa" w:w="2200"/>
            <w:tcBorders>
              <w:top w:val="none" w:color="FFFFFF" w:sz="0"/>
              <w:left w:val="none" w:color="FFFFFF" w:sz="0"/>
              <w:bottom w:val="none" w:color="FFFFFF" w:sz="0"/>
              <w:right w:val="none" w:color="FFFFFF" w:sz="0"/>
            </w:tcBorders>
            <w:shd w:fill="FFF8E1" w:val="clear"/>
            <w:tcMar>
              <w:top w:type="dxa" w:w="100"/>
              <w:left w:type="dxa" w:w="100"/>
              <w:bottom w:type="dxa" w:w="100"/>
              <w:right w:type="dxa" w:w="100"/>
            </w:tcMar>
            <w:vAlign w:val="center"/>
          </w:tcPr>
          <w:p>
            <w:pPr>
              <w:jc w:val="center"/>
            </w:pPr>
            <w:r>
              <w:rPr>
                <w:rFonts w:ascii="Arial" w:cs="Arial" w:eastAsia="Arial" w:hAnsi="Arial"/>
                <w:b/>
                <w:bCs/>
                <w:color w:val="7B4F00"/>
                <w:sz w:val="17"/>
                <w:szCs w:val="17"/>
              </w:rPr>
              <w:t xml:space="preserve">Nuclear / Uranium</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$13.13</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Commodity upside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Junior uranium producer leveraged to uranium spot price. Pre-revenue stage with negative EBITDA — higher risk expression of the nuclear thesis. Under review for exit — Centrus (LEU) is the preferred, more conservative nuclear exposure due to its profitability and monopoly HALEU position. Hold pending a price bounce.</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 American</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Uranium price recovery</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Reviewing</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p>
      <w:pPr>
        <w:pBdr>
          <w:bottom w:val="single" w:color="2E75B6" w:sz="4" w:space="4"/>
        </w:pBdr>
        <w:spacing w:before="280" w:after="100"/>
      </w:pPr>
      <w:r>
        <w:rPr>
          <w:rFonts w:ascii="Arial" w:cs="Arial" w:eastAsia="Arial" w:hAnsi="Arial"/>
          <w:b/>
          <w:bCs/>
          <w:color w:val="2E5C8A"/>
          <w:sz w:val="22"/>
          <w:szCs w:val="22"/>
        </w:rPr>
        <w:t xml:space="preserve">EUROPEAN DEFENCE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R3NK.DE  </w:t>
            </w:r>
            <w:r>
              <w:rPr>
                <w:rFonts w:ascii="Arial" w:cs="Arial" w:eastAsia="Arial" w:hAnsi="Arial"/>
                <w:color w:val="B8D4F0"/>
                <w:sz w:val="19"/>
                <w:szCs w:val="19"/>
              </w:rPr>
              <w:t xml:space="preserve">RENK Group AG</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EU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€46.63</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€68</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German defence transmission specialist for NATO armoured vehicles (Leopard, CV90). €6.68B order backlog providing multi-year revenue visibility. FY2025 revenue +19.8%. Germany's 2026 defence budget €108B (+25% YoY). 14-analyst Buy consensus, targets ranging €63–€76. Current weakness reflects post-results consolidation and sector noise — not thesis failure. May 6 earnings expected to confirm order intake recovery.</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XETRA</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6</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LDO.MI  </w:t>
            </w:r>
            <w:r>
              <w:rPr>
                <w:rFonts w:ascii="Arial" w:cs="Arial" w:eastAsia="Arial" w:hAnsi="Arial"/>
                <w:color w:val="B8D4F0"/>
                <w:sz w:val="19"/>
                <w:szCs w:val="19"/>
              </w:rPr>
              <w:t xml:space="preserve">Leonardo SpA</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EU Defence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€57.74</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€68</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Italy's leading aerospace and defence group. 30% owned by Italian government providing strategic stability and no dilution risk. FY2025 orders +14.5% to €23.8B. Revenue target €30B by 2030. Iveco Defence acquisition completed March 2026 expanding ground vehicle capability. Barclays upgraded to Overweight March 9, target €68. Best earnings momentum in EU defence peer group per Barclays. Lowest ceasefire risk of all EU defence names due to civilian helicopter revenue diversification (29.5% of revenue). Equita target €71.</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Borsa Italiana</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Q1 Earnings May 5</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RR.L  </w:t>
            </w:r>
            <w:r>
              <w:rPr>
                <w:rFonts w:ascii="Arial" w:cs="Arial" w:eastAsia="Arial" w:hAnsi="Arial"/>
                <w:color w:val="B8D4F0"/>
                <w:sz w:val="19"/>
                <w:szCs w:val="19"/>
              </w:rPr>
              <w:t xml:space="preserve">Rolls-Royce Holdings</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UK Defence / Nuclear</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1134p</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1395p</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Long-term multi-thesis hold. Defence engines for Eurofighter, F-35, and Type 26 frigates. AUKUS submarine propulsion. Small Modular Reactor (SMR) programme — targeting 16 SMRs in UK by 2035. Reinstated dividend, ex-div April 23 — hold before that date. Structural European defence and nuclear spend tailwind over 2–5 year horizon.</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LSE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Ex-div Apr 23 / H1 Earnings Jul 30</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12–24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SHLD  </w:t>
            </w:r>
            <w:r>
              <w:rPr>
                <w:rFonts w:ascii="Arial" w:cs="Arial" w:eastAsia="Arial" w:hAnsi="Arial"/>
                <w:color w:val="B8D4F0"/>
                <w:sz w:val="19"/>
                <w:szCs w:val="19"/>
              </w:rPr>
              <w:t xml:space="preserve">Global X Defence Tech ETF</w:t>
            </w:r>
          </w:p>
        </w:tc>
        <w:tc>
          <w:tcPr>
            <w:tcW w:type="dxa" w:w="2200"/>
            <w:tcBorders>
              <w:top w:val="none" w:color="FFFFFF" w:sz="0"/>
              <w:left w:val="none" w:color="FFFFFF" w:sz="0"/>
              <w:bottom w:val="none" w:color="FFFFFF" w:sz="0"/>
              <w:right w:val="none" w:color="FFFFFF" w:sz="0"/>
            </w:tcBorders>
            <w:shd w:fill="E8F4EA" w:val="clear"/>
            <w:tcMar>
              <w:top w:type="dxa" w:w="100"/>
              <w:left w:type="dxa" w:w="100"/>
              <w:bottom w:type="dxa" w:w="100"/>
              <w:right w:type="dxa" w:w="100"/>
            </w:tcMar>
            <w:vAlign w:val="center"/>
          </w:tcPr>
          <w:p>
            <w:pPr>
              <w:jc w:val="center"/>
            </w:pPr>
            <w:r>
              <w:rPr>
                <w:rFonts w:ascii="Arial" w:cs="Arial" w:eastAsia="Arial" w:hAnsi="Arial"/>
                <w:b/>
                <w:bCs/>
                <w:color w:val="1A5C2A"/>
                <w:sz w:val="17"/>
                <w:szCs w:val="17"/>
              </w:rPr>
              <w:t xml:space="preserve">Defence ETF / Hedge</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$71.37</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Diversified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Diversified exposure to the global defence technology sector. Held as a portfolio hedge ensuring broad sector participation. Provides exposure to names outside direct single-stock picks including Lockheed Martin, RTX, Northrop Grumman, and European peers.</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NASDAQ</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Ongoing</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Ongoing</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p>
      <w:pPr>
        <w:pBdr>
          <w:bottom w:val="single" w:color="2E75B6" w:sz="4" w:space="4"/>
        </w:pBdr>
        <w:spacing w:before="280" w:after="100"/>
      </w:pPr>
      <w:r>
        <w:rPr>
          <w:rFonts w:ascii="Arial" w:cs="Arial" w:eastAsia="Arial" w:hAnsi="Arial"/>
          <w:b/>
          <w:bCs/>
          <w:color w:val="2E5C8A"/>
          <w:sz w:val="22"/>
          <w:szCs w:val="22"/>
        </w:rPr>
        <w:t xml:space="preserve">CONSUMER LEISURE &amp; PEACE DIVIDEND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RCL  </w:t>
            </w:r>
            <w:r>
              <w:rPr>
                <w:rFonts w:ascii="Arial" w:cs="Arial" w:eastAsia="Arial" w:hAnsi="Arial"/>
                <w:color w:val="B8D4F0"/>
                <w:sz w:val="19"/>
                <w:szCs w:val="19"/>
              </w:rPr>
              <w:t xml:space="preserve">Royal Caribbean Cruises</w:t>
            </w:r>
          </w:p>
        </w:tc>
        <w:tc>
          <w:tcPr>
            <w:tcW w:type="dxa" w:w="2200"/>
            <w:tcBorders>
              <w:top w:val="none" w:color="FFFFFF" w:sz="0"/>
              <w:left w:val="none" w:color="FFFFFF" w:sz="0"/>
              <w:bottom w:val="none" w:color="FFFFFF" w:sz="0"/>
              <w:right w:val="none" w:color="FFFFFF" w:sz="0"/>
            </w:tcBorders>
            <w:shd w:fill="F3E8FD" w:val="clear"/>
            <w:tcMar>
              <w:top w:type="dxa" w:w="100"/>
              <w:left w:type="dxa" w:w="100"/>
              <w:bottom w:type="dxa" w:w="100"/>
              <w:right w:type="dxa" w:w="100"/>
            </w:tcMar>
            <w:vAlign w:val="center"/>
          </w:tcPr>
          <w:p>
            <w:pPr>
              <w:jc w:val="center"/>
            </w:pPr>
            <w:r>
              <w:rPr>
                <w:rFonts w:ascii="Arial" w:cs="Arial" w:eastAsia="Arial" w:hAnsi="Arial"/>
                <w:b/>
                <w:bCs/>
                <w:color w:val="5B1A8A"/>
                <w:sz w:val="17"/>
                <w:szCs w:val="17"/>
              </w:rPr>
              <w:t xml:space="preserve">Leisure / Consumer</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$277.22</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$364</w:t>
            </w:r>
          </w:p>
        </w:tc>
        <w:tc>
          <w:tcPr>
            <w:tcW w:type="dxa" w:w="1230"/>
            <w:tcBorders>
              <w:top w:val="none" w:color="FFFFFF" w:sz="0"/>
              <w:left w:val="none" w:color="FFFFFF" w:sz="0"/>
              <w:bottom w:val="none" w:color="FFFFFF" w:sz="0"/>
              <w:right w:val="none" w:color="FFFFFF" w:sz="0"/>
            </w:tcBorders>
            <w:shd w:fill="E2F0EA" w:val="clear"/>
            <w:tcMar>
              <w:top w:type="dxa" w:w="100"/>
              <w:left w:type="dxa" w:w="100"/>
              <w:bottom w:type="dxa" w:w="100"/>
              <w:right w:type="dxa" w:w="100"/>
            </w:tcMar>
            <w:vAlign w:val="center"/>
          </w:tcPr>
          <w:p>
            <w:r>
              <w:rPr>
                <w:rFonts w:ascii="Arial" w:cs="Arial" w:eastAsia="Arial" w:hAnsi="Arial"/>
                <w:color w:val="1A6B3C"/>
                <w:sz w:val="15"/>
                <w:szCs w:val="15"/>
              </w:rPr>
              <w:t xml:space="preserve">Upside</w:t>
            </w:r>
          </w:p>
          <w:p>
            <w:r>
              <w:rPr>
                <w:rFonts w:ascii="Arial" w:cs="Arial" w:eastAsia="Arial" w:hAnsi="Arial"/>
                <w:b/>
                <w:bCs/>
                <w:color w:val="1A6B3C"/>
                <w:sz w:val="21"/>
                <w:szCs w:val="21"/>
              </w:rPr>
              <w:t xml:space="preserve">+31%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Premium cruise operator with ~50% fuel hedged for 2026 — providing a meaningful buffer vs unhedged peers in the current elevated oil environment. Strong advance bookings at record pricing. Direct beneficiary of any de-escalation: oil falls, disposable income recovers, travel demand accelerates. Luxury and high-income demographic insulated from fuel cost pass-through.</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NYSE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Q2 Earnings / Peace dividend</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6–12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1A6B3C"/>
                <w:sz w:val="17"/>
                <w:szCs w:val="17"/>
              </w:rPr>
              <w:t xml:space="preserve">Positive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230"/>
        <w:gridCol w:w="1230"/>
      </w:tblGrid>
      <w:tr>
        <w:tc>
          <w:tcPr>
            <w:tcW w:type="dxa" w:w="3200"/>
            <w:tcBorders>
              <w:top w:val="none" w:color="FFFFFF" w:sz="0"/>
              <w:left w:val="none" w:color="FFFFFF" w:sz="0"/>
              <w:bottom w:val="none" w:color="FFFFFF" w:sz="0"/>
              <w:right w:val="none" w:color="FFFFFF" w:sz="0"/>
            </w:tcBorders>
            <w:shd w:fill="1F3864" w:val="clear"/>
            <w:tcMar>
              <w:top w:type="dxa" w:w="100"/>
              <w:left w:type="dxa" w:w="160"/>
              <w:bottom w:type="dxa" w:w="100"/>
              <w:right w:type="dxa" w:w="100"/>
            </w:tcMar>
          </w:tcPr>
          <w:p>
            <w:r>
              <w:rPr>
                <w:rFonts w:ascii="Arial" w:cs="Arial" w:eastAsia="Arial" w:hAnsi="Arial"/>
                <w:b/>
                <w:bCs/>
                <w:color w:val="FFFFFF"/>
                <w:sz w:val="26"/>
                <w:szCs w:val="26"/>
              </w:rPr>
              <w:t xml:space="preserve">IAG.L  </w:t>
            </w:r>
            <w:r>
              <w:rPr>
                <w:rFonts w:ascii="Arial" w:cs="Arial" w:eastAsia="Arial" w:hAnsi="Arial"/>
                <w:color w:val="B8D4F0"/>
                <w:sz w:val="19"/>
                <w:szCs w:val="19"/>
              </w:rPr>
              <w:t xml:space="preserve">Intl Consolidated Airlines</w:t>
            </w:r>
          </w:p>
        </w:tc>
        <w:tc>
          <w:tcPr>
            <w:tcW w:type="dxa" w:w="2200"/>
            <w:tcBorders>
              <w:top w:val="none" w:color="FFFFFF" w:sz="0"/>
              <w:left w:val="none" w:color="FFFFFF" w:sz="0"/>
              <w:bottom w:val="none" w:color="FFFFFF" w:sz="0"/>
              <w:right w:val="none" w:color="FFFFFF" w:sz="0"/>
            </w:tcBorders>
            <w:shd w:fill="F3E8FD" w:val="clear"/>
            <w:tcMar>
              <w:top w:type="dxa" w:w="100"/>
              <w:left w:type="dxa" w:w="100"/>
              <w:bottom w:type="dxa" w:w="100"/>
              <w:right w:type="dxa" w:w="100"/>
            </w:tcMar>
            <w:vAlign w:val="center"/>
          </w:tcPr>
          <w:p>
            <w:pPr>
              <w:jc w:val="center"/>
            </w:pPr>
            <w:r>
              <w:rPr>
                <w:rFonts w:ascii="Arial" w:cs="Arial" w:eastAsia="Arial" w:hAnsi="Arial"/>
                <w:b/>
                <w:bCs/>
                <w:color w:val="5B1A8A"/>
                <w:sz w:val="17"/>
                <w:szCs w:val="17"/>
              </w:rPr>
              <w:t xml:space="preserve">Peace Dividend / Airlines</w:t>
            </w:r>
          </w:p>
        </w:tc>
        <w:tc>
          <w:tcPr>
            <w:tcW w:type="dxa" w:w="150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Current Price</w:t>
            </w:r>
          </w:p>
          <w:p>
            <w:r>
              <w:rPr>
                <w:rFonts w:ascii="Arial" w:cs="Arial" w:eastAsia="Arial" w:hAnsi="Arial"/>
                <w:b/>
                <w:bCs/>
                <w:color w:val="1A202C"/>
                <w:sz w:val="21"/>
                <w:szCs w:val="21"/>
              </w:rPr>
              <w:t xml:space="preserve">355p</w:t>
            </w:r>
          </w:p>
        </w:tc>
        <w:tc>
          <w:tcPr>
            <w:tcW w:type="dxa" w:w="1230"/>
            <w:tcBorders>
              <w:top w:val="none" w:color="FFFFFF" w:sz="0"/>
              <w:left w:val="none" w:color="FFFFFF" w:sz="0"/>
              <w:bottom w:val="none" w:color="FFFFFF" w:sz="0"/>
              <w:right w:val="none" w:color="FFFFFF" w:sz="0"/>
            </w:tcBorders>
            <w:shd w:fill="E8ECF0" w:val="clear"/>
            <w:tcMar>
              <w:top w:type="dxa" w:w="100"/>
              <w:left w:type="dxa" w:w="100"/>
              <w:bottom w:type="dxa" w:w="100"/>
              <w:right w:type="dxa" w:w="100"/>
            </w:tcMar>
            <w:vAlign w:val="center"/>
          </w:tcPr>
          <w:p>
            <w:r>
              <w:rPr>
                <w:rFonts w:ascii="Arial" w:cs="Arial" w:eastAsia="Arial" w:hAnsi="Arial"/>
                <w:color w:val="4A5568"/>
                <w:sz w:val="15"/>
                <w:szCs w:val="15"/>
              </w:rPr>
              <w:t xml:space="preserve">Target</w:t>
            </w:r>
          </w:p>
          <w:p>
            <w:r>
              <w:rPr>
                <w:rFonts w:ascii="Arial" w:cs="Arial" w:eastAsia="Arial" w:hAnsi="Arial"/>
                <w:b/>
                <w:bCs/>
                <w:color w:val="1A6B3C"/>
                <w:sz w:val="21"/>
                <w:szCs w:val="21"/>
              </w:rPr>
              <w:t xml:space="preserve">492p</w:t>
            </w:r>
          </w:p>
        </w:tc>
        <w:tc>
          <w:tcPr>
            <w:tcW w:type="dxa" w:w="1230"/>
            <w:tcBorders>
              <w:top w:val="none" w:color="FFFFFF" w:sz="0"/>
              <w:left w:val="none" w:color="FFFFFF" w:sz="0"/>
              <w:bottom w:val="none" w:color="FFFFFF" w:sz="0"/>
              <w:right w:val="none" w:color="FFFFFF" w:sz="0"/>
            </w:tcBorders>
            <w:shd w:fill="FFF3CD" w:val="clear"/>
            <w:tcMar>
              <w:top w:type="dxa" w:w="100"/>
              <w:left w:type="dxa" w:w="100"/>
              <w:bottom w:type="dxa" w:w="100"/>
              <w:right w:type="dxa" w:w="100"/>
            </w:tcMar>
            <w:vAlign w:val="center"/>
          </w:tcPr>
          <w:p>
            <w:r>
              <w:rPr>
                <w:rFonts w:ascii="Arial" w:cs="Arial" w:eastAsia="Arial" w:hAnsi="Arial"/>
                <w:color w:val="7B4F00"/>
                <w:sz w:val="15"/>
                <w:szCs w:val="15"/>
              </w:rPr>
              <w:t xml:space="preserve">Upside</w:t>
            </w:r>
          </w:p>
          <w:p>
            <w:r>
              <w:rPr>
                <w:rFonts w:ascii="Arial" w:cs="Arial" w:eastAsia="Arial" w:hAnsi="Arial"/>
                <w:b/>
                <w:bCs/>
                <w:color w:val="7B4F00"/>
                <w:sz w:val="21"/>
                <w:szCs w:val="21"/>
              </w:rPr>
              <w:t xml:space="preserve">+38%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Investment Rationale</w:t>
            </w:r>
          </w:p>
          <w:p>
            <w:pPr>
              <w:spacing w:before="40" w:after="30"/>
            </w:pPr>
          </w:p>
          <w:p>
            <w:r>
              <w:rPr>
                <w:rFonts w:ascii="Arial" w:cs="Arial" w:eastAsia="Arial" w:hAnsi="Arial"/>
                <w:color w:val="1A202C"/>
                <w:sz w:val="17"/>
                <w:szCs w:val="17"/>
              </w:rPr>
              <w:t xml:space="preserve">British Airways, Iberia, Aer Lingus parent. Counter-thesis position: a deliberate peace-dividend bet. US extended 10-day pause on Iran energy strikes to April 6 — at Iran's request, signalling back-channel engagement. If de-escalation materialises, oil drops sharply and airlines re-rate violently. IAG is the preferred expression: well fuel-hedged short-term, active €500M buyback, 15 Buy / 1 Sell analyst ratings, trading 22% below its pre-war February high. P/E 7.7x — deeply discounted.</w:t>
            </w:r>
          </w:p>
        </w:tc>
        <w:tc>
          <w:tcPr>
            <w:tcW w:type="dxa" w:w="468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5C8A"/>
                <w:sz w:val="17"/>
                <w:szCs w:val="17"/>
              </w:rPr>
              <w:t xml:space="preserve">Key Information</w:t>
            </w:r>
          </w:p>
          <w:p>
            <w:pPr>
              <w:spacing w:before="40" w:after="30"/>
            </w:pPr>
          </w:p>
          <w:p>
            <w:r>
              <w:rPr>
                <w:rFonts w:ascii="Arial" w:cs="Arial" w:eastAsia="Arial" w:hAnsi="Arial"/>
                <w:b/>
                <w:bCs/>
                <w:color w:val="4A5568"/>
                <w:sz w:val="17"/>
                <w:szCs w:val="17"/>
              </w:rPr>
              <w:t xml:space="preserve">Exchange:  </w:t>
            </w:r>
            <w:r>
              <w:rPr>
                <w:rFonts w:ascii="Arial" w:cs="Arial" w:eastAsia="Arial" w:hAnsi="Arial"/>
                <w:color w:val="1A202C"/>
                <w:sz w:val="17"/>
                <w:szCs w:val="17"/>
              </w:rPr>
              <w:t xml:space="preserve">LSE</w:t>
            </w:r>
          </w:p>
          <w:p>
            <w:pPr>
              <w:spacing w:before="30" w:after="20"/>
            </w:pPr>
          </w:p>
          <w:p>
            <w:r>
              <w:rPr>
                <w:rFonts w:ascii="Arial" w:cs="Arial" w:eastAsia="Arial" w:hAnsi="Arial"/>
                <w:b/>
                <w:bCs/>
                <w:color w:val="4A5568"/>
                <w:sz w:val="17"/>
                <w:szCs w:val="17"/>
              </w:rPr>
              <w:t xml:space="preserve">Next Catalyst:  </w:t>
            </w:r>
            <w:r>
              <w:rPr>
                <w:rFonts w:ascii="Arial" w:cs="Arial" w:eastAsia="Arial" w:hAnsi="Arial"/>
                <w:color w:val="1A202C"/>
                <w:sz w:val="17"/>
                <w:szCs w:val="17"/>
              </w:rPr>
              <w:t xml:space="preserve">Apr 6 pause expiry / ceasefire</w:t>
            </w:r>
          </w:p>
          <w:p>
            <w:pPr>
              <w:spacing w:before="30" w:after="20"/>
            </w:pPr>
          </w:p>
          <w:p>
            <w:r>
              <w:rPr>
                <w:rFonts w:ascii="Arial" w:cs="Arial" w:eastAsia="Arial" w:hAnsi="Arial"/>
                <w:b/>
                <w:bCs/>
                <w:color w:val="4A5568"/>
                <w:sz w:val="17"/>
                <w:szCs w:val="17"/>
              </w:rPr>
              <w:t xml:space="preserve">Hold Horizon:  </w:t>
            </w:r>
            <w:r>
              <w:rPr>
                <w:rFonts w:ascii="Arial" w:cs="Arial" w:eastAsia="Arial" w:hAnsi="Arial"/>
                <w:color w:val="1A202C"/>
                <w:sz w:val="17"/>
                <w:szCs w:val="17"/>
              </w:rPr>
              <w:t xml:space="preserve">1–6 months</w:t>
            </w:r>
          </w:p>
          <w:p>
            <w:pPr>
              <w:spacing w:before="30" w:after="20"/>
            </w:pPr>
          </w:p>
          <w:p>
            <w:r>
              <w:rPr>
                <w:rFonts w:ascii="Arial" w:cs="Arial" w:eastAsia="Arial" w:hAnsi="Arial"/>
                <w:b/>
                <w:bCs/>
                <w:color w:val="4A5568"/>
                <w:sz w:val="17"/>
                <w:szCs w:val="17"/>
              </w:rPr>
              <w:t xml:space="preserve">Sentiment:  </w:t>
            </w:r>
            <w:r>
              <w:rPr>
                <w:rFonts w:ascii="Arial" w:cs="Arial" w:eastAsia="Arial" w:hAnsi="Arial"/>
                <w:b/>
                <w:bCs/>
                <w:color w:val="7B4F00"/>
                <w:sz w:val="17"/>
                <w:szCs w:val="17"/>
              </w:rPr>
              <w:t xml:space="preserve">Monitor</w:t>
            </w:r>
          </w:p>
        </w:tc>
      </w:tr>
    </w:tbl>
    <w:p>
      <w:pPr>
        <w:spacing w:before="120" w:after="60"/>
      </w:pPr>
    </w:p>
    <w:p>
      <w:pPr>
        <w:spacing w:before="200" w:after="80"/>
      </w:pPr>
    </w:p>
    <w:p>
      <w:pPr>
        <w:pBdr>
          <w:top w:val="single" w:color="D0D8E4" w:sz="4" w:space="4"/>
        </w:pBdr>
        <w:spacing w:before="120" w:after="60"/>
      </w:pPr>
      <w:r>
        <w:rPr>
          <w:rFonts w:ascii="Arial" w:cs="Arial" w:eastAsia="Arial" w:hAnsi="Arial"/>
          <w:i/>
          <w:iCs/>
          <w:color w:val="4A5568"/>
          <w:sz w:val="16"/>
          <w:szCs w:val="16"/>
        </w:rPr>
        <w:t xml:space="preserve">DISCLAIMER: This document is for informational purposes only and does not constitute financial advice or a recommendation to buy or sell any security. All analyst price targets are third-party estimates and not guaranteed. Past performance is not indicative of future results. Investing involves risk including potential loss of capital.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2026-03-27T09:45:39.598Z</dcterms:created>
  <dcterms:modified xsi:type="dcterms:W3CDTF">2026-03-27T09:45:39.599Z</dcterms:modified>
</cp:coreProperties>
</file>

<file path=docProps/custom.xml><?xml version="1.0" encoding="utf-8"?>
<Properties xmlns="http://schemas.openxmlformats.org/officeDocument/2006/custom-properties" xmlns:vt="http://schemas.openxmlformats.org/officeDocument/2006/docPropsVTypes"/>
</file>