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F4E79"/>
          <w:sz w:val="34"/>
        </w:rPr>
        <w:t>Stocks Trading at Least 20% Below Fair Value</w:t>
      </w:r>
    </w:p>
    <w:p>
      <w:pPr>
        <w:spacing w:after="100"/>
        <w:jc w:val="center"/>
      </w:pPr>
      <w:r>
        <w:rPr>
          <w:i/>
          <w:color w:val="5A5A5A"/>
          <w:sz w:val="19"/>
        </w:rPr>
        <w:t>Review shortlist for later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EEF4F8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Basis</w:t>
            </w:r>
          </w:p>
        </w:tc>
        <w:tc>
          <w:tcPr>
            <w:tcW w:type="dxa" w:w="8568"/>
            <w:shd w:fill="EEF4F8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Morningstar fair value estimates, matched against current prices checked on 12 April 2026. Fair value is model-based and should be treated as a screening tool rather than a price target.</w:t>
            </w:r>
          </w:p>
        </w:tc>
      </w:tr>
    </w:tbl>
    <w:p>
      <w:pPr>
        <w:spacing w:before="120" w:after="80"/>
      </w:pPr>
      <w:r>
        <w:rPr>
          <w:rFonts w:ascii="Aptos Display" w:hAnsi="Aptos Display"/>
          <w:b/>
          <w:color w:val="1F4E79"/>
          <w:sz w:val="23"/>
        </w:rPr>
        <w:t>Deepest discounts on the current screen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008"/>
            <w:shd w:fill="1F4E7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Ticker</w:t>
            </w:r>
          </w:p>
        </w:tc>
        <w:tc>
          <w:tcPr>
            <w:tcW w:type="dxa" w:w="3096"/>
            <w:shd w:fill="1F4E7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Company</w:t>
            </w:r>
          </w:p>
        </w:tc>
        <w:tc>
          <w:tcPr>
            <w:tcW w:type="dxa" w:w="1368"/>
            <w:shd w:fill="1F4E7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type="dxa" w:w="1440"/>
            <w:shd w:fill="1F4E7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Fair value</w:t>
            </w:r>
          </w:p>
        </w:tc>
        <w:tc>
          <w:tcPr>
            <w:tcW w:type="dxa" w:w="1296"/>
            <w:shd w:fill="1F4E7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Discount</w:t>
            </w:r>
          </w:p>
        </w:tc>
        <w:tc>
          <w:tcPr>
            <w:tcW w:type="dxa" w:w="2736"/>
            <w:shd w:fill="1F4E7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Comment</w:t>
            </w:r>
          </w:p>
        </w:tc>
      </w:tr>
      <w:tr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KMX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CarMax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$46.72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$99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52.8%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Used-auto retail</w:t>
            </w:r>
          </w:p>
        </w:tc>
      </w:tr>
      <w:tr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CHTR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left"/>
            </w:pPr>
            <w:r>
              <w:rPr>
                <w:sz w:val="19"/>
              </w:rPr>
              <w:t>Charter Communications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$218.82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$450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51.4%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left"/>
            </w:pPr>
            <w:r>
              <w:rPr>
                <w:sz w:val="19"/>
              </w:rPr>
              <w:t>Cable / telecom</w:t>
            </w:r>
          </w:p>
        </w:tc>
      </w:tr>
      <w:tr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BABA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Alibaba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$127.33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$258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50.6%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China internet / commerce</w:t>
            </w:r>
          </w:p>
        </w:tc>
      </w:tr>
      <w:tr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KRC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left"/>
            </w:pPr>
            <w:r>
              <w:rPr>
                <w:sz w:val="19"/>
              </w:rPr>
              <w:t>Kilroy Realty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$28.22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$51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44.7%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left"/>
            </w:pPr>
            <w:r>
              <w:rPr>
                <w:sz w:val="19"/>
              </w:rPr>
              <w:t>Office REIT</w:t>
            </w:r>
          </w:p>
        </w:tc>
      </w:tr>
    </w:tbl>
    <w:p>
      <w:pPr>
        <w:spacing w:before="120" w:after="80"/>
      </w:pPr>
      <w:r>
        <w:rPr>
          <w:rFonts w:ascii="Aptos Display" w:hAnsi="Aptos Display"/>
          <w:b/>
          <w:color w:val="1F4E79"/>
          <w:sz w:val="23"/>
        </w:rPr>
        <w:t>Large-cap / higher-profile names still above the 20% discount threshold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008"/>
            <w:shd w:fill="1F4E7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Ticker</w:t>
            </w:r>
          </w:p>
        </w:tc>
        <w:tc>
          <w:tcPr>
            <w:tcW w:type="dxa" w:w="3096"/>
            <w:shd w:fill="1F4E7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Company</w:t>
            </w:r>
          </w:p>
        </w:tc>
        <w:tc>
          <w:tcPr>
            <w:tcW w:type="dxa" w:w="1368"/>
            <w:shd w:fill="1F4E7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type="dxa" w:w="1440"/>
            <w:shd w:fill="1F4E7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Fair value</w:t>
            </w:r>
          </w:p>
        </w:tc>
        <w:tc>
          <w:tcPr>
            <w:tcW w:type="dxa" w:w="1296"/>
            <w:shd w:fill="1F4E7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Discount</w:t>
            </w:r>
          </w:p>
        </w:tc>
        <w:tc>
          <w:tcPr>
            <w:tcW w:type="dxa" w:w="2736"/>
            <w:shd w:fill="1F4E7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Comment</w:t>
            </w:r>
          </w:p>
        </w:tc>
      </w:tr>
      <w:tr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MSFT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$370.87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$600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38.2%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Large-cap technology</w:t>
            </w:r>
          </w:p>
        </w:tc>
      </w:tr>
      <w:tr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ELV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left"/>
            </w:pPr>
            <w:r>
              <w:rPr>
                <w:sz w:val="19"/>
              </w:rPr>
              <w:t>Elevance Health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$311.53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$474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34.3%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left"/>
            </w:pPr>
            <w:r>
              <w:rPr>
                <w:sz w:val="19"/>
              </w:rPr>
              <w:t>Managed care</w:t>
            </w:r>
          </w:p>
        </w:tc>
      </w:tr>
      <w:tr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CMCSA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Comcast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$27.93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$41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31.9%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Media / broadband</w:t>
            </w:r>
          </w:p>
        </w:tc>
      </w:tr>
      <w:tr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MKTX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left"/>
            </w:pPr>
            <w:r>
              <w:rPr>
                <w:sz w:val="19"/>
              </w:rPr>
              <w:t>MarketAxess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$171.94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$250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31.2%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left"/>
            </w:pPr>
            <w:r>
              <w:rPr>
                <w:sz w:val="19"/>
              </w:rPr>
              <w:t>Electronic fixed-income trading</w:t>
            </w:r>
          </w:p>
        </w:tc>
      </w:tr>
      <w:tr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ZTS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Zoetis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$117.86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$171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31.1%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Animal health</w:t>
            </w:r>
          </w:p>
        </w:tc>
      </w:tr>
      <w:tr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MAS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left"/>
            </w:pPr>
            <w:r>
              <w:rPr>
                <w:sz w:val="19"/>
              </w:rPr>
              <w:t>Masco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$62.97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$88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28.4%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left"/>
            </w:pPr>
            <w:r>
              <w:rPr>
                <w:sz w:val="19"/>
              </w:rPr>
              <w:t>Building products</w:t>
            </w:r>
          </w:p>
        </w:tc>
      </w:tr>
      <w:tr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META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Meta Platforms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$629.86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$850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25.9%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Digital advertising / AI</w:t>
            </w:r>
          </w:p>
        </w:tc>
      </w:tr>
      <w:tr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AVGO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left"/>
            </w:pPr>
            <w:r>
              <w:rPr>
                <w:sz w:val="19"/>
              </w:rPr>
              <w:t>Broadcom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$371.55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$500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sz w:val="19"/>
              </w:rPr>
              <w:t>25.7%</w:t>
            </w:r>
          </w:p>
        </w:tc>
        <w:tc>
          <w:tcPr>
            <w:tcW w:type="dxa" w:w="17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A"/>
          </w:tcPr>
          <w:p>
            <w:pPr>
              <w:spacing w:after="0"/>
              <w:jc w:val="left"/>
            </w:pPr>
            <w:r>
              <w:rPr>
                <w:sz w:val="19"/>
              </w:rPr>
              <w:t>Semis / infrastructure software</w:t>
            </w:r>
          </w:p>
        </w:tc>
      </w:tr>
    </w:tbl>
    <w:p>
      <w:pPr>
        <w:spacing w:before="120" w:after="80"/>
      </w:pPr>
      <w:r>
        <w:rPr>
          <w:rFonts w:ascii="Aptos Display" w:hAnsi="Aptos Display"/>
          <w:b/>
          <w:color w:val="1F4E79"/>
          <w:sz w:val="23"/>
        </w:rPr>
        <w:t>Working notes</w:t>
      </w:r>
    </w:p>
    <w:p>
      <w:pPr>
        <w:pStyle w:val="ListBullet"/>
        <w:spacing w:after="0"/>
      </w:pPr>
      <w:r>
        <w:rPr>
          <w:sz w:val="19"/>
        </w:rPr>
        <w:t>These names passed a 20% discount threshold using one consistent fair-value framework.</w:t>
      </w:r>
    </w:p>
    <w:p>
      <w:pPr>
        <w:pStyle w:val="ListBullet"/>
        <w:spacing w:after="0"/>
      </w:pPr>
      <w:r>
        <w:rPr>
          <w:sz w:val="19"/>
        </w:rPr>
        <w:t>A share can look cheap for a good reason; balance-sheet pressure, cyclical weakness, regulation, or execution risk may justify part of the discount.</w:t>
      </w:r>
    </w:p>
    <w:p>
      <w:pPr>
        <w:pStyle w:val="ListBullet"/>
        <w:spacing w:after="0"/>
      </w:pPr>
      <w:r>
        <w:rPr>
          <w:sz w:val="19"/>
        </w:rPr>
        <w:t>For follow-up review, the most useful next filters are quality of balance sheet, near-term catalyst, and whether the market is disagreeing with the valuation model for structural reasons.</w:t>
      </w:r>
    </w:p>
    <w:p>
      <w:pPr>
        <w:spacing w:before="160"/>
        <w:jc w:val="center"/>
      </w:pPr>
      <w:r>
        <w:rPr>
          <w:i/>
          <w:color w:val="646464"/>
          <w:sz w:val="17"/>
        </w:rPr>
        <w:t>Prepared for review on 12 April 2026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