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752AC">
      <w:pPr>
        <w:pStyle w:val="23"/>
        <w:spacing w:before="326"/>
      </w:pPr>
      <w:r>
        <w:rPr>
          <w:rFonts w:hint="eastAsia"/>
        </w:rPr>
        <w:t>安吉县成果资料整理</w:t>
      </w:r>
    </w:p>
    <w:p w14:paraId="3710D634">
      <w:pPr>
        <w:pStyle w:val="43"/>
        <w:rPr>
          <w:rFonts w:hint="eastAsia"/>
        </w:rPr>
      </w:pPr>
      <w:r>
        <w:rPr>
          <w:rFonts w:hint="eastAsia"/>
        </w:rPr>
        <w:t xml:space="preserve"> 安吉县植被和水体研究</w:t>
      </w:r>
    </w:p>
    <w:p w14:paraId="2AE3B284">
      <w:pPr>
        <w:pStyle w:val="44"/>
      </w:pPr>
      <w:r>
        <w:rPr>
          <w:rFonts w:hint="eastAsia"/>
        </w:rPr>
        <w:t xml:space="preserve"> 安吉县遥感影像数据预处理</w:t>
      </w:r>
    </w:p>
    <w:p w14:paraId="07B6ED07">
      <w:pPr>
        <w:ind w:firstLine="480"/>
        <w:rPr>
          <w:rFonts w:hint="eastAsia"/>
        </w:rPr>
      </w:pPr>
      <w:r>
        <w:rPr>
          <w:rFonts w:ascii="Segoe UI Emoji" w:hAnsi="Segoe UI Emoji" w:cs="Segoe UI Emoji"/>
        </w:rPr>
        <w:t>🌍</w:t>
      </w:r>
      <w:r>
        <w:rPr>
          <w:rFonts w:hint="eastAsia"/>
        </w:rPr>
        <w:t xml:space="preserve"> 哨兵二号（Sentinel-2）数据简介及研究方法</w:t>
      </w:r>
    </w:p>
    <w:p w14:paraId="6853646B">
      <w:pPr>
        <w:ind w:firstLine="480"/>
        <w:rPr>
          <w:rFonts w:hint="eastAsia"/>
        </w:rPr>
      </w:pPr>
      <w:r>
        <w:rPr>
          <w:rFonts w:hint="eastAsia"/>
        </w:rPr>
        <w:t>Sentinel-2 是欧洲空间局（ESA）哥白尼计划下的高分辨率多光谱成像卫星任务，由 Sentinel-2A和 Sentinel-2B两颗卫星组成，提供高时间分辨率（重访周期最短 5 天）和高空间分辨率的地球观测数据。该任务的主要目标是监测陆地表面的植被、土壤、水体和海岸线。</w:t>
      </w:r>
    </w:p>
    <w:p w14:paraId="560C63F1">
      <w:pPr>
        <w:ind w:firstLine="480"/>
      </w:pPr>
      <w:r>
        <w:rPr>
          <w:rFonts w:hint="eastAsia"/>
        </w:rPr>
        <w:t>Sentinel-2 影像共包含 13 个波段，涵盖了从可见光到短波红外的光谱范围，其空间分辨率分为三级：</w:t>
      </w:r>
    </w:p>
    <w:p w14:paraId="3462F4AF">
      <w:pPr>
        <w:ind w:firstLine="480"/>
        <w:rPr>
          <w:rFonts w:hint="eastAsia"/>
        </w:rPr>
      </w:pPr>
      <w:r>
        <w:rPr>
          <w:rFonts w:hint="eastAsia"/>
        </w:rPr>
        <w:t>10 米分辨率 (V/NIR): B2 (蓝), B3 (绿), B4 (红), B8 (近红外)</w:t>
      </w:r>
    </w:p>
    <w:p w14:paraId="5351B923">
      <w:pPr>
        <w:ind w:firstLine="480"/>
        <w:rPr>
          <w:rFonts w:hint="eastAsia"/>
        </w:rPr>
      </w:pPr>
      <w:r>
        <w:rPr>
          <w:rFonts w:hint="eastAsia"/>
        </w:rPr>
        <w:t>20 米分辨率:6 个植被和水体监测相关波段 (如 B5, B6, B7, B8A, B11, B12)</w:t>
      </w:r>
    </w:p>
    <w:p w14:paraId="318A1730">
      <w:pPr>
        <w:ind w:firstLine="480"/>
        <w:rPr>
          <w:rFonts w:hint="eastAsia"/>
        </w:rPr>
      </w:pPr>
      <w:r>
        <w:rPr>
          <w:rFonts w:hint="eastAsia"/>
        </w:rPr>
        <w:t>60 米分辨率:3 个大气校正和云检测相关波段 (B1, B9, B10)</w:t>
      </w:r>
    </w:p>
    <w:p w14:paraId="6CD89E6B">
      <w:pPr>
        <w:ind w:firstLine="480"/>
        <w:rPr>
          <w:rFonts w:hint="eastAsia"/>
        </w:rPr>
      </w:pPr>
      <w:r>
        <w:rPr>
          <w:rFonts w:ascii="Segoe UI Emoji" w:hAnsi="Segoe UI Emoji" w:cs="Segoe UI Emoji"/>
        </w:rPr>
        <w:t>📝</w:t>
      </w:r>
      <w:r>
        <w:rPr>
          <w:rFonts w:hint="eastAsia"/>
        </w:rPr>
        <w:t xml:space="preserve"> 研究区影像获取方法</w:t>
      </w:r>
    </w:p>
    <w:p w14:paraId="0783EAE6">
      <w:pPr>
        <w:ind w:firstLine="480"/>
      </w:pPr>
      <w:r>
        <w:rPr>
          <w:rFonts w:hint="eastAsia"/>
        </w:rPr>
        <w:t>本研究旨在使用 Sentinel-2 数据获取浙江省安吉县的遥感影像，并重点关注 10 米分辨率的 B2 (蓝)、B3 (绿)、B4 (红)以及 B8 (近红外)四个核心植被监测波段。</w:t>
      </w:r>
    </w:p>
    <w:p w14:paraId="5C34FA16">
      <w:pPr>
        <w:ind w:firstLine="480"/>
      </w:pPr>
      <w:r>
        <w:rPr>
          <w:rFonts w:hint="eastAsia"/>
        </w:rPr>
        <w:t>获取安吉县影像的步骤如下：</w:t>
      </w:r>
    </w:p>
    <w:p w14:paraId="776AFB46">
      <w:pPr>
        <w:ind w:firstLine="480"/>
        <w:rPr>
          <w:rFonts w:hint="eastAsia"/>
        </w:rPr>
      </w:pPr>
      <w:r>
        <w:rPr>
          <w:rFonts w:hint="eastAsia"/>
        </w:rPr>
        <w:t>1.  数据预处理:首先，将下载的 L1C 级（大气层顶反射率）Sentinel-2 产品导入 SNAP (Sentinel Application Platform)软件中，利用内置的 Sen2Cor工具进行大气校正，生成 L2A 级（地表反射率）产品，以消除大气效应的影响，确保地物反射率的真实性。</w:t>
      </w:r>
    </w:p>
    <w:p w14:paraId="5E36B21A">
      <w:pPr>
        <w:ind w:firstLine="480"/>
        <w:rPr>
          <w:rFonts w:hint="eastAsia"/>
        </w:rPr>
      </w:pPr>
      <w:r>
        <w:rPr>
          <w:rFonts w:hint="eastAsia"/>
        </w:rPr>
        <w:t>2.  数据镶嵌:由于安吉县的地理范围可能跨越多景 Sentinel-2 影像，需要使用 SNAP 的 Mosaicking 工具对所有覆盖研究区的 L2A 影像进行镶嵌处理，以构建一个完整、无缝的安吉县覆盖影像。在镶嵌过程中，仅选择 B2、B3、B4、B8 四个波段**参与处理。</w:t>
      </w:r>
    </w:p>
    <w:p w14:paraId="4E7AEE27">
      <w:pPr>
        <w:ind w:firstLine="480"/>
      </w:pPr>
      <w:r>
        <w:rPr>
          <w:rFonts w:hint="eastAsia"/>
        </w:rPr>
        <w:t>3.  裁剪提取: 最后，通过导入安吉县的行政区划 Shapefile 矢量文件，使用 SNAP 的Subset 工具，以矢量边界为精确约束，对镶嵌后的影像进行裁剪，最终得到分辨率为 10 米、仅包含 B2、B3、B4、B8 四个波段的安吉县遥感影像，如图1.1所示，用于后续的分析研究。</w:t>
      </w:r>
    </w:p>
    <w:p w14:paraId="34479772">
      <w:pPr>
        <w:ind w:firstLine="0" w:firstLineChars="0"/>
        <w:rPr>
          <w:rFonts w:hint="eastAsia"/>
        </w:rPr>
      </w:pPr>
    </w:p>
    <w:p w14:paraId="47CF8263">
      <w:pPr>
        <w:pStyle w:val="48"/>
      </w:pPr>
      <w:r>
        <w:drawing>
          <wp:inline distT="0" distB="0" distL="0" distR="0">
            <wp:extent cx="4972050" cy="7025640"/>
            <wp:effectExtent l="0" t="0" r="0" b="3810"/>
            <wp:docPr id="652393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561"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4642" cy="7029767"/>
                    </a:xfrm>
                    <a:prstGeom prst="rect">
                      <a:avLst/>
                    </a:prstGeom>
                  </pic:spPr>
                </pic:pic>
              </a:graphicData>
            </a:graphic>
          </wp:inline>
        </w:drawing>
      </w:r>
    </w:p>
    <w:p w14:paraId="5772C4B5">
      <w:pPr>
        <w:pStyle w:val="48"/>
        <w:spacing w:before="624"/>
        <w:rPr>
          <w:rFonts w:hint="eastAsia"/>
        </w:rPr>
      </w:pPr>
      <w:r>
        <w:rPr>
          <w:rFonts w:hint="eastAsia"/>
        </w:rPr>
        <w:t>图</w:t>
      </w:r>
      <w:r>
        <w:fldChar w:fldCharType="begin"/>
      </w:r>
      <w:r>
        <w:instrText xml:space="preserve"> QUOTE "</w:instrText>
      </w:r>
      <w:r>
        <w:rPr>
          <w:rFonts w:hint="eastAsia"/>
        </w:rPr>
        <w:instrText xml:space="preserve">二零一七年九月</w:instrText>
      </w:r>
      <w:r>
        <w:fldChar w:fldCharType="begin"/>
      </w:r>
      <w:r>
        <w:instrText xml:space="preserve"> </w:instrText>
      </w:r>
      <w:r>
        <w:rPr>
          <w:rFonts w:hint="eastAsia"/>
        </w:rPr>
        <w:instrText xml:space="preserve">S</w:instrText>
      </w:r>
      <w:r>
        <w:instrText xml:space="preserve">TYLEREF 1 \s </w:instrText>
      </w:r>
      <w:r>
        <w:fldChar w:fldCharType="separate"/>
      </w:r>
      <w:r>
        <w:rPr>
          <w:rFonts w:hint="eastAsia"/>
          <w:b/>
          <w:bCs/>
        </w:rPr>
        <w:instrText xml:space="preserve">错误!文档中没有指定样式的文字。</w:instrText>
      </w:r>
      <w:r>
        <w:fldChar w:fldCharType="end"/>
      </w:r>
      <w:r>
        <w:rPr>
          <w:rFonts w:hint="eastAsia"/>
        </w:rPr>
        <w:instrText xml:space="preserve">日</w:instrText>
      </w:r>
      <w:r>
        <w:instrText xml:space="preserve">" \@ "D"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w:t>
      </w:r>
      <w:sdt>
        <w:sdtPr>
          <w:rPr>
            <w:rFonts w:hint="eastAsia"/>
          </w:rPr>
          <w:id w:val="-350652044"/>
          <w:placeholder>
            <w:docPart w:val="5FCD90FB64E747F39D8564D6A23F4AD6"/>
          </w:placeholder>
          <w:text/>
        </w:sdtPr>
        <w:sdtEndPr>
          <w:rPr>
            <w:rFonts w:hint="eastAsia"/>
          </w:rPr>
        </w:sdtEndPr>
        <w:sdtContent>
          <w:r>
            <w:rPr>
              <w:rFonts w:hint="eastAsia"/>
            </w:rPr>
            <w:t>预处理后的哨兵二号数据</w:t>
          </w:r>
        </w:sdtContent>
      </w:sdt>
    </w:p>
    <w:p w14:paraId="0707768D">
      <w:pPr>
        <w:pStyle w:val="44"/>
      </w:pPr>
      <w:r>
        <w:rPr>
          <w:rFonts w:hint="eastAsia"/>
        </w:rPr>
        <w:t xml:space="preserve"> NDVI处理</w:t>
      </w:r>
    </w:p>
    <w:p w14:paraId="22299AC3">
      <w:pPr>
        <w:ind w:firstLine="480"/>
      </w:pPr>
      <w:r>
        <w:t>NDVI 是 Normalized Difference Vegetation Index（归一化植被指数）的缩写。</w:t>
      </w:r>
    </w:p>
    <w:p w14:paraId="3122FCE3">
      <w:pPr>
        <w:ind w:firstLine="480"/>
      </w:pPr>
      <w:r>
        <w:t>定义: 它是一个标准化的、定量的指数，用于衡量植被的生长活力和覆盖密度。</w:t>
      </w:r>
    </w:p>
    <w:p w14:paraId="264C6656">
      <w:pPr>
        <w:ind w:firstLine="480"/>
      </w:pPr>
      <w:r>
        <w:t>原理: 该指数的核心原理是利用健康植被独特的两个光谱特性：</w:t>
      </w:r>
    </w:p>
    <w:p w14:paraId="5BFEAADC">
      <w:pPr>
        <w:ind w:firstLine="480"/>
      </w:pPr>
      <w:r>
        <w:t>强吸收红光 (Red): 健康的植物叶片含有大量叶绿素，会强烈吸收红光波段的太阳辐射进行光合作用。</w:t>
      </w:r>
    </w:p>
    <w:p w14:paraId="53EDADE9">
      <w:pPr>
        <w:ind w:firstLine="480"/>
      </w:pPr>
      <w:r>
        <w:t>强反射近红外光 (NIR): 健康的植物细胞结构（尤其是叶肉海绵组织）会强烈反射近红外光波段的辐射。</w:t>
      </w:r>
    </w:p>
    <w:p w14:paraId="1A16B8E0">
      <w:pPr>
        <w:ind w:firstLine="480"/>
        <w:rPr>
          <w:rFonts w:hint="eastAsia"/>
        </w:rPr>
      </w:pPr>
      <w:r>
        <w:drawing>
          <wp:anchor distT="0" distB="0" distL="114300" distR="114300" simplePos="0" relativeHeight="251661312" behindDoc="0" locked="0" layoutInCell="1" allowOverlap="1">
            <wp:simplePos x="0" y="0"/>
            <wp:positionH relativeFrom="margin">
              <wp:align>center</wp:align>
            </wp:positionH>
            <wp:positionV relativeFrom="paragraph">
              <wp:posOffset>287655</wp:posOffset>
            </wp:positionV>
            <wp:extent cx="1826260" cy="560070"/>
            <wp:effectExtent l="0" t="0" r="2540" b="0"/>
            <wp:wrapTopAndBottom/>
            <wp:docPr id="687564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4671"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26260" cy="560070"/>
                    </a:xfrm>
                    <a:prstGeom prst="rect">
                      <a:avLst/>
                    </a:prstGeom>
                    <a:noFill/>
                  </pic:spPr>
                </pic:pic>
              </a:graphicData>
            </a:graphic>
          </wp:anchor>
        </w:drawing>
      </w:r>
      <w:r>
        <w:t>公式: NDVI 通过比较这两个波段反射率的差异，并进行归一化处理来计算：</w:t>
      </w:r>
      <w:r>
        <w:rPr>
          <w:rFonts w:hint="eastAsia"/>
        </w:rPr>
        <w:t>、</w:t>
      </w:r>
    </w:p>
    <w:p w14:paraId="0203CD2E">
      <w:pPr>
        <w:ind w:firstLine="480"/>
      </w:pPr>
      <w:r>
        <w:t>数值范围: 结果值介于 -1.0 到 +1.0 之间。</w:t>
      </w:r>
    </w:p>
    <w:p w14:paraId="66E301AD">
      <w:pPr>
        <w:ind w:firstLine="480"/>
      </w:pPr>
      <w:r>
        <w:t>高值 (接近 +1): 表示植被茂盛、健康、覆盖度高（如森林、旺盛的农田）。</w:t>
      </w:r>
    </w:p>
    <w:p w14:paraId="2DC42AE2">
      <w:pPr>
        <w:ind w:firstLine="480"/>
      </w:pPr>
      <w:r>
        <w:t>中低值 (0.1 到 0.4): 表示稀疏植被（如灌木、草地）。</w:t>
      </w:r>
    </w:p>
    <w:p w14:paraId="59ADF332">
      <w:pPr>
        <w:ind w:firstLine="480"/>
      </w:pPr>
      <w:r>
        <w:t>接近 0 的值: 表示岩石、裸土或人造地物。</w:t>
      </w:r>
    </w:p>
    <w:p w14:paraId="0157AFDE">
      <w:pPr>
        <w:ind w:firstLine="480"/>
      </w:pPr>
      <w:r>
        <w:t>负值 (接近 -1): 表示水体、云层或雪。</w:t>
      </w:r>
    </w:p>
    <w:p w14:paraId="1C027DF0">
      <w:pPr>
        <w:ind w:firstLine="480"/>
      </w:pPr>
      <w:r>
        <w:rPr>
          <w:rFonts w:hint="eastAsia"/>
        </w:rPr>
        <w:t>NDVI后的影像如图1.2所示：</w:t>
      </w:r>
    </w:p>
    <w:p w14:paraId="41FB04E8">
      <w:pPr>
        <w:ind w:firstLine="480"/>
      </w:pPr>
      <w:r>
        <w:rPr>
          <w:rFonts w:hint="eastAsia"/>
        </w:rPr>
        <w:drawing>
          <wp:anchor distT="0" distB="0" distL="114300" distR="114300" simplePos="0" relativeHeight="251659264" behindDoc="0" locked="0" layoutInCell="1" allowOverlap="1">
            <wp:simplePos x="0" y="0"/>
            <wp:positionH relativeFrom="margin">
              <wp:posOffset>1931670</wp:posOffset>
            </wp:positionH>
            <wp:positionV relativeFrom="paragraph">
              <wp:posOffset>81280</wp:posOffset>
            </wp:positionV>
            <wp:extent cx="2242185" cy="3168650"/>
            <wp:effectExtent l="0" t="0" r="5715" b="0"/>
            <wp:wrapSquare wrapText="bothSides"/>
            <wp:docPr id="13222325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2577"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42185" cy="3168650"/>
                    </a:xfrm>
                    <a:prstGeom prst="rect">
                      <a:avLst/>
                    </a:prstGeom>
                  </pic:spPr>
                </pic:pic>
              </a:graphicData>
            </a:graphic>
          </wp:anchor>
        </w:drawing>
      </w:r>
    </w:p>
    <w:p w14:paraId="476FE292">
      <w:pPr>
        <w:ind w:firstLine="480"/>
      </w:pPr>
    </w:p>
    <w:p w14:paraId="6E008310">
      <w:pPr>
        <w:ind w:firstLine="480"/>
      </w:pPr>
    </w:p>
    <w:p w14:paraId="316C3C4B">
      <w:pPr>
        <w:ind w:firstLine="480"/>
      </w:pPr>
    </w:p>
    <w:p w14:paraId="7D7697B5">
      <w:pPr>
        <w:ind w:firstLine="480"/>
      </w:pPr>
    </w:p>
    <w:p w14:paraId="2688F43B">
      <w:pPr>
        <w:ind w:firstLine="480"/>
      </w:pPr>
    </w:p>
    <w:p w14:paraId="132F5883">
      <w:pPr>
        <w:ind w:firstLine="480"/>
      </w:pPr>
    </w:p>
    <w:p w14:paraId="6E6818A8">
      <w:pPr>
        <w:ind w:firstLine="480"/>
      </w:pPr>
    </w:p>
    <w:p w14:paraId="1129A22C">
      <w:pPr>
        <w:ind w:firstLine="480"/>
      </w:pPr>
    </w:p>
    <w:p w14:paraId="631F8AF1">
      <w:pPr>
        <w:ind w:firstLine="480"/>
      </w:pPr>
    </w:p>
    <w:p w14:paraId="5623213F">
      <w:pPr>
        <w:ind w:firstLine="480"/>
      </w:pPr>
    </w:p>
    <w:p w14:paraId="193FC171">
      <w:pPr>
        <w:ind w:firstLine="480"/>
      </w:pPr>
    </w:p>
    <w:p w14:paraId="07A101F2">
      <w:pPr>
        <w:ind w:firstLine="480"/>
      </w:pPr>
    </w:p>
    <w:p w14:paraId="5A5A5623">
      <w:pPr>
        <w:ind w:firstLine="480"/>
        <w:jc w:val="center"/>
      </w:pPr>
      <w:r>
        <w:rPr>
          <w:rFonts w:hint="eastAsia"/>
        </w:rPr>
        <w:t>图1.2　NDVI后的安吉县遥感影像</w:t>
      </w:r>
    </w:p>
    <w:p w14:paraId="6F22FB10">
      <w:pPr>
        <w:ind w:firstLine="480"/>
        <w:rPr>
          <w:rFonts w:hint="eastAsia"/>
        </w:rPr>
      </w:pPr>
    </w:p>
    <w:p w14:paraId="0C0E9846">
      <w:pPr>
        <w:pStyle w:val="44"/>
      </w:pPr>
      <w:r>
        <w:rPr>
          <w:rFonts w:hint="eastAsia"/>
        </w:rPr>
        <w:t xml:space="preserve"> 安吉县植被覆盖度</w:t>
      </w:r>
    </w:p>
    <w:p w14:paraId="253AA4F8">
      <w:pPr>
        <w:ind w:firstLine="482"/>
      </w:pPr>
      <w:r>
        <w:rPr>
          <w:b/>
          <w:bCs/>
        </w:rPr>
        <w:t>定义 (FVC):</w:t>
      </w:r>
      <w:r>
        <w:t xml:space="preserve"> 植被覆盖度（Fractional Vegetation Cover, </w:t>
      </w:r>
      <w:r>
        <w:rPr>
          <w:b/>
          <w:bCs/>
        </w:rPr>
        <w:t>FVC</w:t>
      </w:r>
      <w:r>
        <w:t>）是指在统计区域内，</w:t>
      </w:r>
      <w:r>
        <w:rPr>
          <w:b/>
          <w:bCs/>
        </w:rPr>
        <w:t>植被（包括叶、茎、枝）在地面的垂直投影面积占该区域总面积的百分比</w:t>
      </w:r>
      <w:r>
        <w:t>。</w:t>
      </w:r>
    </w:p>
    <w:p w14:paraId="55D78859">
      <w:pPr>
        <w:ind w:firstLine="482"/>
      </w:pPr>
      <w:r>
        <w:rPr>
          <w:b/>
          <w:bCs/>
        </w:rPr>
        <w:t>目的:</w:t>
      </w:r>
      <w:r>
        <w:t xml:space="preserve"> 植被覆盖度图本质上是一张栅格图，图上每一个像素的值都代表了该像素范围内地表被绿色植被覆盖的比例（通常以 </w:t>
      </w:r>
      <w:r>
        <w:rPr>
          <w:b/>
          <w:bCs/>
        </w:rPr>
        <w:t>0 到 1.0</w:t>
      </w:r>
      <w:r>
        <w:t xml:space="preserve"> 或 </w:t>
      </w:r>
      <w:r>
        <w:rPr>
          <w:b/>
          <w:bCs/>
        </w:rPr>
        <w:t>0% 到 100%</w:t>
      </w:r>
      <w:r>
        <w:t xml:space="preserve"> 表示）。它是衡量地表植被覆盖程度和指示区域生态环境变化的重要参数。</w:t>
      </w:r>
    </w:p>
    <w:p w14:paraId="48969865">
      <w:pPr>
        <w:ind w:firstLine="482"/>
      </w:pPr>
      <w:r>
        <w:rPr>
          <w:b/>
          <w:bCs/>
        </w:rPr>
        <w:t>用途:</w:t>
      </w:r>
      <w:r>
        <w:t xml:space="preserve"> 广泛应用于水土保持、水文过程研究、气候变化响应监测、荒漠化评估以及农业监测等领域。</w:t>
      </w:r>
    </w:p>
    <w:p w14:paraId="54614144">
      <w:pPr>
        <w:ind w:firstLine="482"/>
        <w:rPr>
          <w:b/>
          <w:bCs/>
        </w:rPr>
      </w:pPr>
      <w:r>
        <w:rPr>
          <w:b/>
          <w:bCs/>
        </w:rPr>
        <w:t>2. 制作安吉县植被覆盖度图的步骤（基于 Sentinel-2 数据）</w:t>
      </w:r>
    </w:p>
    <w:p w14:paraId="3211C118">
      <w:pPr>
        <w:ind w:firstLine="480"/>
      </w:pPr>
      <w:r>
        <w:t>遥感估算植被覆盖度最常用、最简便的方法是基于 NDVI 的</w:t>
      </w:r>
      <w:r>
        <w:rPr>
          <w:b/>
          <w:bCs/>
        </w:rPr>
        <w:t>混合像元分解法（也称二元像元模型或像元二分模型）</w:t>
      </w:r>
      <w:r>
        <w:t>。</w:t>
      </w:r>
    </w:p>
    <w:p w14:paraId="6E298511">
      <w:pPr>
        <w:ind w:firstLine="482"/>
        <w:rPr>
          <w:b/>
          <w:bCs/>
        </w:rPr>
      </w:pPr>
      <w:r>
        <w:rPr>
          <w:b/>
          <w:bCs/>
        </w:rPr>
        <w:t>步骤一：数据预处理和 NDVI 计算</w:t>
      </w:r>
    </w:p>
    <w:p w14:paraId="49E2C4BA">
      <w:pPr>
        <w:ind w:firstLine="482"/>
      </w:pPr>
      <w:r>
        <w:rPr>
          <w:b/>
          <w:bCs/>
        </w:rPr>
        <w:t>数据准备:</w:t>
      </w:r>
      <w:r>
        <w:t xml:space="preserve"> 准备已进行辐射定标和</w:t>
      </w:r>
      <w:r>
        <w:rPr>
          <w:b/>
          <w:bCs/>
        </w:rPr>
        <w:t>大气校正</w:t>
      </w:r>
      <w:r>
        <w:t>的安吉县 Sentinel-2 L2A 遥感影像（需要B4红光波段和B8近红外波段）。</w:t>
      </w:r>
    </w:p>
    <w:p w14:paraId="3E932BE6">
      <w:pPr>
        <w:ind w:firstLine="480"/>
        <w:rPr>
          <w:rFonts w:hint="eastAsia"/>
        </w:rPr>
      </w:pPr>
      <w:r>
        <w:drawing>
          <wp:anchor distT="0" distB="0" distL="114300" distR="114300" simplePos="0" relativeHeight="251660288" behindDoc="0" locked="0" layoutInCell="1" allowOverlap="1">
            <wp:simplePos x="0" y="0"/>
            <wp:positionH relativeFrom="margin">
              <wp:align>center</wp:align>
            </wp:positionH>
            <wp:positionV relativeFrom="paragraph">
              <wp:posOffset>598805</wp:posOffset>
            </wp:positionV>
            <wp:extent cx="1612900" cy="528320"/>
            <wp:effectExtent l="0" t="0" r="6350" b="5080"/>
            <wp:wrapTopAndBottom/>
            <wp:docPr id="13898248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4870"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612900" cy="528320"/>
                    </a:xfrm>
                    <a:prstGeom prst="rect">
                      <a:avLst/>
                    </a:prstGeom>
                    <a:noFill/>
                  </pic:spPr>
                </pic:pic>
              </a:graphicData>
            </a:graphic>
          </wp:anchor>
        </w:drawing>
      </w:r>
      <w:r>
        <w:rPr>
          <w:b/>
          <w:bCs/>
        </w:rPr>
        <w:t>NDVI 计算:</w:t>
      </w:r>
      <w:r>
        <w:t xml:space="preserve"> 使用 Sentinel-2 的B8和B4 (Red) 波段，在 SNAP 或其他 GIS 软件中计算安吉县区域的 NDVI 影像：</w:t>
      </w:r>
    </w:p>
    <w:p w14:paraId="26FC1791">
      <w:pPr>
        <w:ind w:firstLine="482"/>
        <w:rPr>
          <w:b/>
          <w:bCs/>
        </w:rPr>
      </w:pPr>
      <w:r>
        <w:rPr>
          <w:b/>
          <w:bCs/>
        </w:rPr>
        <w:t>步骤二：确定模型参数</w:t>
      </w:r>
    </w:p>
    <w:p w14:paraId="1FF4B275">
      <w:pPr>
        <w:ind w:firstLine="480"/>
        <w:rPr>
          <w:rFonts w:hint="eastAsia"/>
        </w:rPr>
      </w:pPr>
      <w:r>
        <w:drawing>
          <wp:anchor distT="0" distB="0" distL="114300" distR="114300" simplePos="0" relativeHeight="251662336" behindDoc="0" locked="0" layoutInCell="1" allowOverlap="1">
            <wp:simplePos x="0" y="0"/>
            <wp:positionH relativeFrom="margin">
              <wp:align>center</wp:align>
            </wp:positionH>
            <wp:positionV relativeFrom="paragraph">
              <wp:posOffset>609600</wp:posOffset>
            </wp:positionV>
            <wp:extent cx="1292225" cy="412750"/>
            <wp:effectExtent l="0" t="0" r="3175" b="6350"/>
            <wp:wrapTopAndBottom/>
            <wp:docPr id="764966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66161"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92225" cy="412750"/>
                    </a:xfrm>
                    <a:prstGeom prst="rect">
                      <a:avLst/>
                    </a:prstGeom>
                  </pic:spPr>
                </pic:pic>
              </a:graphicData>
            </a:graphic>
          </wp:anchor>
        </w:drawing>
      </w:r>
      <w:r>
        <w:t>植被覆盖度FVC 的计算公式如下，它假设每个像元由植被 (FVCv</w:t>
      </w:r>
      <w:r>
        <w:rPr>
          <w:rFonts w:hint="eastAsia"/>
        </w:rPr>
        <w:t>)</w:t>
      </w:r>
      <w:r>
        <w:t>和裸土 (FVCs) 两种纯净组分构成：</w:t>
      </w:r>
      <w:r>
        <w:rPr>
          <w:rFonts w:hint="eastAsia"/>
        </w:rPr>
        <w:t>、</w:t>
      </w:r>
    </w:p>
    <w:p w14:paraId="696009B6">
      <w:pPr>
        <w:ind w:firstLine="480"/>
      </w:pPr>
      <w:r>
        <w:t>你需要从计算出的 NDVI 影像中确定两个关键参数：</w:t>
      </w:r>
    </w:p>
    <w:p w14:paraId="24618A1F">
      <w:pPr>
        <w:ind w:firstLine="482"/>
      </w:pPr>
      <w:r>
        <w:rPr>
          <w:b/>
          <w:bCs/>
        </w:rPr>
        <w:t>NDVIs(裸土 NDVI):</w:t>
      </w:r>
      <w:r>
        <w:t xml:space="preserve"> 裸土或非植被区域的 NDVI 值。理论上接近 0，但在实际影像中需要通过统计或选取典型区域来确定一个最小值，通常取影像中小于 5% 累计频率的 NDVI 值。</w:t>
      </w:r>
    </w:p>
    <w:p w14:paraId="4CFC9C88">
      <w:pPr>
        <w:ind w:firstLine="482"/>
      </w:pPr>
      <w:r>
        <w:rPr>
          <w:b/>
          <w:bCs/>
        </w:rPr>
        <w:t>NDVIv (纯植被NDVI):</w:t>
      </w:r>
      <w:r>
        <w:t xml:space="preserve"> 纯净、茂盛植被区域的 NDVI 值。通常取影像中大于 95% 累计频率的 NDVI 值（即植被最茂盛的区域）。</w:t>
      </w:r>
    </w:p>
    <w:p w14:paraId="120DDC02">
      <w:pPr>
        <w:ind w:firstLine="482"/>
        <w:rPr>
          <w:b/>
          <w:bCs/>
        </w:rPr>
      </w:pPr>
      <w:r>
        <w:rPr>
          <w:b/>
          <w:bCs/>
        </w:rPr>
        <w:t>步骤三：应用模型和阈值处理</w:t>
      </w:r>
    </w:p>
    <w:p w14:paraId="38BE00F5">
      <w:pPr>
        <w:ind w:firstLine="482"/>
      </w:pPr>
      <w:r>
        <w:rPr>
          <w:b/>
          <w:bCs/>
        </w:rPr>
        <w:t>像元二分模型计算:</w:t>
      </w:r>
      <w:r>
        <w:t xml:space="preserve"> 在 GIS 软件（如 SNAP 的 Band Maths 工具）中，代入安吉县 NDVI 影像和确定的 NDVIs、NDVIv 参数，对每一个像素进行计算，得到 FVC影像。</w:t>
      </w:r>
    </w:p>
    <w:p w14:paraId="6C3794BD">
      <w:pPr>
        <w:ind w:firstLine="482"/>
      </w:pPr>
      <w:r>
        <w:rPr>
          <w:b/>
          <w:bCs/>
        </w:rPr>
        <w:t>结果约束:</w:t>
      </w:r>
      <w:r>
        <w:t xml:space="preserve"> FVC 的理论值范围是 0 到 1。由于模型误差，可能会出现小于 0 或大于 1 的值，因此需要进行阈值处理：</w:t>
      </w:r>
    </w:p>
    <w:p w14:paraId="2B51F96B">
      <w:pPr>
        <w:ind w:firstLine="480"/>
      </w:pPr>
      <w:r>
        <w:t xml:space="preserve">将 FVC&lt; 0 的值设置为 </w:t>
      </w:r>
      <w:r>
        <w:rPr>
          <w:b/>
          <w:bCs/>
        </w:rPr>
        <w:t>0</w:t>
      </w:r>
      <w:r>
        <w:t>（无植被覆盖）。</w:t>
      </w:r>
    </w:p>
    <w:p w14:paraId="02DA40F0">
      <w:pPr>
        <w:ind w:firstLine="480"/>
      </w:pPr>
      <w:r>
        <w:t xml:space="preserve">将 FVC &gt; 1 的值设置为 </w:t>
      </w:r>
      <w:r>
        <w:rPr>
          <w:b/>
          <w:bCs/>
        </w:rPr>
        <w:t>1</w:t>
      </w:r>
      <w:r>
        <w:t>（完全植被覆盖）。</w:t>
      </w:r>
    </w:p>
    <w:p w14:paraId="112DEC23">
      <w:pPr>
        <w:ind w:firstLine="480"/>
        <w:rPr>
          <w:rFonts w:hint="eastAsia"/>
        </w:rPr>
      </w:pPr>
      <w:r>
        <w:rPr>
          <w:rFonts w:hint="eastAsia"/>
        </w:rPr>
        <w:drawing>
          <wp:anchor distT="0" distB="0" distL="114300" distR="114300" simplePos="0" relativeHeight="251663360" behindDoc="0" locked="0" layoutInCell="1" allowOverlap="1">
            <wp:simplePos x="0" y="0"/>
            <wp:positionH relativeFrom="margin">
              <wp:align>center</wp:align>
            </wp:positionH>
            <wp:positionV relativeFrom="paragraph">
              <wp:posOffset>314325</wp:posOffset>
            </wp:positionV>
            <wp:extent cx="3481070" cy="4919345"/>
            <wp:effectExtent l="0" t="0" r="5080" b="0"/>
            <wp:wrapTopAndBottom/>
            <wp:docPr id="301072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224" name="图片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81070" cy="4919345"/>
                    </a:xfrm>
                    <a:prstGeom prst="rect">
                      <a:avLst/>
                    </a:prstGeom>
                  </pic:spPr>
                </pic:pic>
              </a:graphicData>
            </a:graphic>
          </wp:anchor>
        </w:drawing>
      </w:r>
      <w:r>
        <w:rPr>
          <w:rFonts w:hint="eastAsia"/>
        </w:rPr>
        <w:t>得到的FVC图如图所示：</w:t>
      </w:r>
    </w:p>
    <w:p w14:paraId="41C0E835">
      <w:pPr>
        <w:pStyle w:val="48"/>
        <w:spacing w:before="624"/>
      </w:pPr>
      <w:r>
        <w:rPr>
          <w:rFonts w:hint="eastAsia"/>
        </w:rPr>
        <w:t>图</w:t>
      </w:r>
      <w:r>
        <w:fldChar w:fldCharType="begin"/>
      </w:r>
      <w:r>
        <w:instrText xml:space="preserve"> QUOTE "</w:instrText>
      </w:r>
      <w:r>
        <w:rPr>
          <w:rFonts w:hint="eastAsia"/>
        </w:rPr>
        <w:instrText xml:space="preserve">二零一七年九月</w:instrText>
      </w:r>
      <w:r>
        <w:fldChar w:fldCharType="begin"/>
      </w:r>
      <w:r>
        <w:instrText xml:space="preserve"> </w:instrText>
      </w:r>
      <w:r>
        <w:rPr>
          <w:rFonts w:hint="eastAsia"/>
        </w:rPr>
        <w:instrText xml:space="preserve">S</w:instrText>
      </w:r>
      <w:r>
        <w:instrText xml:space="preserve">TYLEREF 1 \s </w:instrText>
      </w:r>
      <w:r>
        <w:fldChar w:fldCharType="separate"/>
      </w:r>
      <w:r>
        <w:rPr>
          <w:rFonts w:hint="eastAsia"/>
          <w:b/>
          <w:bCs/>
        </w:rPr>
        <w:instrText xml:space="preserve">错误!文档中没有指定样式的文字。</w:instrText>
      </w:r>
      <w:r>
        <w:fldChar w:fldCharType="end"/>
      </w:r>
      <w:r>
        <w:rPr>
          <w:rFonts w:hint="eastAsia"/>
        </w:rPr>
        <w:instrText xml:space="preserve">日</w:instrText>
      </w:r>
      <w:r>
        <w:instrText xml:space="preserve">" \@ "D" </w:instrText>
      </w:r>
      <w:r>
        <w:fldChar w:fldCharType="separate"/>
      </w:r>
      <w:r>
        <w:t>1</w:t>
      </w:r>
      <w:r>
        <w:fldChar w:fldCharType="end"/>
      </w:r>
      <w:r>
        <w:t>.</w:t>
      </w:r>
      <w:r>
        <w:rPr>
          <w:rFonts w:hint="eastAsia"/>
        </w:rPr>
        <w:t>3　</w:t>
      </w:r>
      <w:sdt>
        <w:sdtPr>
          <w:rPr>
            <w:rFonts w:hint="eastAsia"/>
          </w:rPr>
          <w:id w:val="-2128304618"/>
          <w:placeholder>
            <w:docPart w:val="649801CC2C9D4841B8F0C6744A777E90"/>
          </w:placeholder>
          <w:text/>
        </w:sdtPr>
        <w:sdtEndPr>
          <w:rPr>
            <w:rFonts w:hint="eastAsia"/>
          </w:rPr>
        </w:sdtEndPr>
        <w:sdtContent>
          <w:r>
            <w:rPr>
              <w:rFonts w:hint="eastAsia"/>
            </w:rPr>
            <w:t>植被覆盖度图</w:t>
          </w:r>
        </w:sdtContent>
      </w:sdt>
    </w:p>
    <w:p w14:paraId="17333E31">
      <w:pPr>
        <w:ind w:firstLine="480"/>
        <w:rPr>
          <w:rFonts w:hint="eastAsia"/>
        </w:rPr>
      </w:pPr>
    </w:p>
    <w:p w14:paraId="56EDD066">
      <w:pPr>
        <w:ind w:firstLine="480"/>
      </w:pPr>
    </w:p>
    <w:p w14:paraId="6FA7BD2B">
      <w:pPr>
        <w:ind w:firstLine="480"/>
      </w:pPr>
    </w:p>
    <w:p w14:paraId="574D6D43">
      <w:pPr>
        <w:ind w:firstLine="480"/>
      </w:pPr>
    </w:p>
    <w:p w14:paraId="619CB294">
      <w:pPr>
        <w:pStyle w:val="44"/>
      </w:pPr>
      <w:r>
        <w:rPr>
          <w:rFonts w:hint="eastAsia"/>
        </w:rPr>
        <w:t xml:space="preserve"> 安吉县水体提取及面积计算</w:t>
      </w:r>
    </w:p>
    <w:p w14:paraId="24B95A57">
      <w:pPr>
        <w:ind w:firstLine="480"/>
      </w:pPr>
      <w:r>
        <w:t xml:space="preserve">在 </w:t>
      </w:r>
      <w:r>
        <w:rPr>
          <w:b/>
          <w:bCs/>
        </w:rPr>
        <w:t>ENVI</w:t>
      </w:r>
      <w:r>
        <w:t xml:space="preserve"> 软件中通过</w:t>
      </w:r>
      <w:r>
        <w:rPr>
          <w:b/>
          <w:bCs/>
        </w:rPr>
        <w:t>监督分类</w:t>
      </w:r>
      <w:r>
        <w:t xml:space="preserve">方法中的 </w:t>
      </w:r>
      <w:r>
        <w:rPr>
          <w:b/>
          <w:bCs/>
        </w:rPr>
        <w:t>支持向量机 (SVM)</w:t>
      </w:r>
      <w:r>
        <w:t xml:space="preserve"> 模型，将影像中的地物分为不同的类别（包括水体）。分类完成后，利用软件功能将水体类别提取出来，并转换为</w:t>
      </w:r>
      <w:r>
        <w:rPr>
          <w:b/>
          <w:bCs/>
        </w:rPr>
        <w:t>矢量文件</w:t>
      </w:r>
      <w:r>
        <w:t xml:space="preserve">（通常是 Shapefile），以便于在 </w:t>
      </w:r>
      <w:r>
        <w:rPr>
          <w:b/>
          <w:bCs/>
        </w:rPr>
        <w:t>ArcGIS</w:t>
      </w:r>
      <w:r>
        <w:t xml:space="preserve"> 等专业 GIS 软件中进行精确的</w:t>
      </w:r>
      <w:r>
        <w:rPr>
          <w:b/>
          <w:bCs/>
        </w:rPr>
        <w:t>几何计算</w:t>
      </w:r>
      <w:r>
        <w:t>，最终得出安吉县水体的总面积为 1,617,386,900 m。</w:t>
      </w:r>
    </w:p>
    <w:p w14:paraId="75CB79B8">
      <w:pPr>
        <w:ind w:firstLine="482"/>
        <w:rPr>
          <w:b/>
          <w:bCs/>
        </w:rPr>
      </w:pPr>
      <w:r>
        <w:rPr>
          <w:b/>
          <w:bCs/>
        </w:rPr>
        <w:t>2. 过程步骤拆解与关键技术</w:t>
      </w:r>
    </w:p>
    <w:p w14:paraId="1A0977F0">
      <w:pPr>
        <w:ind w:firstLine="482"/>
        <w:rPr>
          <w:b/>
          <w:bCs/>
        </w:rPr>
      </w:pPr>
      <w:r>
        <w:rPr>
          <w:b/>
          <w:bCs/>
        </w:rPr>
        <w:t>步骤一：数据准备与预处理（Sentinel-2 10m 影像）</w:t>
      </w:r>
    </w:p>
    <w:p w14:paraId="784B01D5">
      <w:pPr>
        <w:ind w:firstLine="482"/>
      </w:pPr>
      <w:r>
        <w:rPr>
          <w:b/>
          <w:bCs/>
        </w:rPr>
        <w:t>数据基础:</w:t>
      </w:r>
      <w:r>
        <w:t xml:space="preserve"> 使用经过大气校正和几何精校正的安吉县 10 米分辨率 Sentinel-2 遥感影像。该影像包含用于地物识别的关键波段（如 B2、B3、B4、B8 等）。</w:t>
      </w:r>
    </w:p>
    <w:p w14:paraId="70924BCD">
      <w:pPr>
        <w:ind w:firstLine="482"/>
      </w:pPr>
      <w:r>
        <w:rPr>
          <w:b/>
          <w:bCs/>
        </w:rPr>
        <w:t>目的:</w:t>
      </w:r>
      <w:r>
        <w:t xml:space="preserve"> 确保后续分类基于准确的地表反射率数据。</w:t>
      </w:r>
    </w:p>
    <w:p w14:paraId="3772E864">
      <w:pPr>
        <w:ind w:firstLine="482"/>
        <w:rPr>
          <w:b/>
          <w:bCs/>
        </w:rPr>
      </w:pPr>
      <w:r>
        <w:rPr>
          <w:b/>
          <w:bCs/>
        </w:rPr>
        <w:t>步骤二：ENVI 中的支持向量机 (SVM) 监督分类</w:t>
      </w:r>
    </w:p>
    <w:p w14:paraId="4E4A13FA">
      <w:pPr>
        <w:ind w:firstLine="482"/>
      </w:pPr>
      <w:r>
        <w:rPr>
          <w:b/>
          <w:bCs/>
        </w:rPr>
        <w:t>方法选择:</w:t>
      </w:r>
      <w:r>
        <w:t xml:space="preserve"> 选择了</w:t>
      </w:r>
      <w:r>
        <w:rPr>
          <w:b/>
          <w:bCs/>
        </w:rPr>
        <w:t>支持向量机 (SVM)</w:t>
      </w:r>
      <w:r>
        <w:t>，它是一种强大的</w:t>
      </w:r>
      <w:r>
        <w:rPr>
          <w:b/>
          <w:bCs/>
        </w:rPr>
        <w:t>监督分类</w:t>
      </w:r>
      <w:r>
        <w:t>方法。</w:t>
      </w:r>
    </w:p>
    <w:p w14:paraId="0AED3AE3">
      <w:pPr>
        <w:ind w:firstLine="482"/>
      </w:pPr>
      <w:r>
        <w:rPr>
          <w:b/>
          <w:bCs/>
        </w:rPr>
        <w:t>优点:</w:t>
      </w:r>
      <w:r>
        <w:t xml:space="preserve"> SVM 尤其擅长处理高维数据和小样本训练集，在复杂区域（如水体与阴影、湿地交界处）具有较高的分类精度和稳健性。</w:t>
      </w:r>
    </w:p>
    <w:p w14:paraId="49F8BA81">
      <w:pPr>
        <w:ind w:firstLine="482"/>
      </w:pPr>
      <w:r>
        <w:rPr>
          <w:b/>
          <w:bCs/>
        </w:rPr>
        <w:t>实施过程:</w:t>
      </w:r>
    </w:p>
    <w:p w14:paraId="6617CEDD">
      <w:pPr>
        <w:ind w:firstLine="482"/>
      </w:pPr>
      <w:r>
        <w:rPr>
          <w:b/>
          <w:bCs/>
        </w:rPr>
        <w:t>选择训练样本 (ROI):</w:t>
      </w:r>
      <w:r>
        <w:t xml:space="preserve"> 在 ENVI 中，根据影像目视判读，人工选取具有代表性的</w:t>
      </w:r>
      <w:r>
        <w:rPr>
          <w:b/>
          <w:bCs/>
        </w:rPr>
        <w:t>训练区域 (Region of Interest, ROI)</w:t>
      </w:r>
      <w:r>
        <w:t>，包括：</w:t>
      </w:r>
      <w:r>
        <w:rPr>
          <w:b/>
          <w:bCs/>
        </w:rPr>
        <w:t>水体</w:t>
      </w:r>
      <w:r>
        <w:t>、林地、农田、城市、裸土等主要地物类别。</w:t>
      </w:r>
    </w:p>
    <w:p w14:paraId="3A67D29F">
      <w:pPr>
        <w:ind w:firstLine="482"/>
      </w:pPr>
      <w:r>
        <w:rPr>
          <w:b/>
          <w:bCs/>
        </w:rPr>
        <w:t>模型训练与分类:</w:t>
      </w:r>
      <w:r>
        <w:t xml:space="preserve"> 将这些样本输入 SVM 分类器进行训练，模型学习不同地物类别的光谱特征后，对安吉县的整个遥感影像进行分类，输出</w:t>
      </w:r>
      <w:r>
        <w:rPr>
          <w:b/>
          <w:bCs/>
        </w:rPr>
        <w:t>分类结果图</w:t>
      </w:r>
      <w:r>
        <w:t>（栅格格式）。</w:t>
      </w:r>
    </w:p>
    <w:p w14:paraId="3C07EB8A">
      <w:pPr>
        <w:ind w:firstLine="482"/>
        <w:rPr>
          <w:b/>
          <w:bCs/>
        </w:rPr>
      </w:pPr>
      <w:r>
        <w:rPr>
          <w:b/>
          <w:bCs/>
        </w:rPr>
        <w:t>步骤三：提取水体类别并栅格转矢量</w:t>
      </w:r>
    </w:p>
    <w:p w14:paraId="16E3D571">
      <w:pPr>
        <w:ind w:firstLine="482"/>
      </w:pPr>
      <w:r>
        <w:rPr>
          <w:b/>
          <w:bCs/>
        </w:rPr>
        <w:t>水体提取:</w:t>
      </w:r>
      <w:r>
        <w:t xml:space="preserve"> 从步骤二得到的分类结果图（多类别栅格）中，仅选择并提取水体这一类别</w:t>
      </w:r>
      <w:r>
        <w:rPr>
          <w:rFonts w:hint="eastAsia"/>
        </w:rPr>
        <w:t>，如图</w:t>
      </w:r>
      <w:r>
        <w:t>。</w:t>
      </w:r>
    </w:p>
    <w:p w14:paraId="3D800E64">
      <w:pPr>
        <w:ind w:firstLine="482"/>
      </w:pPr>
      <w:r>
        <w:rPr>
          <w:b/>
          <w:bCs/>
        </w:rPr>
        <w:t>栅格转矢量:</w:t>
      </w:r>
      <w:r>
        <w:t xml:space="preserve"> 使用 ENVI 或 ArcGIS 的工具，将提取出的水体栅格数据转换为</w:t>
      </w:r>
      <w:r>
        <w:rPr>
          <w:b/>
          <w:bCs/>
        </w:rPr>
        <w:t>矢量格式</w:t>
      </w:r>
      <w:r>
        <w:t>（如 Shapefile）</w:t>
      </w:r>
      <w:r>
        <w:rPr>
          <w:rFonts w:hint="eastAsia"/>
        </w:rPr>
        <w:t>如图1.4所示</w:t>
      </w:r>
      <w:r>
        <w:t>。</w:t>
      </w:r>
    </w:p>
    <w:p w14:paraId="74B4F0F6">
      <w:pPr>
        <w:ind w:firstLine="482"/>
      </w:pPr>
      <w:r>
        <w:rPr>
          <w:b/>
          <w:bCs/>
        </w:rPr>
        <w:t>目的:</w:t>
      </w:r>
      <w:r>
        <w:t xml:space="preserve"> 栅格数据计算面积时是近似值（基于像素数量），而矢量数据（由边界多边形组成）可以实现精确的几何计算。</w:t>
      </w:r>
    </w:p>
    <w:p w14:paraId="5C8CF704">
      <w:pPr>
        <w:ind w:firstLine="482"/>
        <w:rPr>
          <w:b/>
          <w:bCs/>
        </w:rPr>
      </w:pPr>
      <w:r>
        <w:rPr>
          <w:b/>
          <w:bCs/>
        </w:rPr>
        <w:t>步骤四：ArcGIS 中进行面积计算</w:t>
      </w:r>
    </w:p>
    <w:p w14:paraId="26ED32CA">
      <w:pPr>
        <w:ind w:firstLine="482"/>
      </w:pPr>
      <w:r>
        <w:rPr>
          <w:b/>
          <w:bCs/>
        </w:rPr>
        <w:t>导入与计算:</w:t>
      </w:r>
      <w:r>
        <w:t xml:space="preserve"> 将导出的水体矢量文件（Shapefile）导入 ArcGIS 中。</w:t>
      </w:r>
    </w:p>
    <w:p w14:paraId="74C23D28">
      <w:pPr>
        <w:ind w:firstLine="482"/>
      </w:pPr>
      <w:r>
        <w:rPr>
          <w:b/>
          <w:bCs/>
        </w:rPr>
        <w:t>几何计算:</w:t>
      </w:r>
      <w:r>
        <w:t xml:space="preserve"> 使用 ArcGIS 的</w:t>
      </w:r>
      <w:r>
        <w:rPr>
          <w:b/>
          <w:bCs/>
        </w:rPr>
        <w:t>几何计算（Calculate Geometry）功能，针对水体图层的多边形要素</w:t>
      </w:r>
      <w:r>
        <w:t>，计算其在投影坐标系下的精确面积。</w:t>
      </w:r>
    </w:p>
    <w:p w14:paraId="5C375D93">
      <w:pPr>
        <w:ind w:firstLine="480"/>
        <w:rPr>
          <w:rFonts w:hint="eastAsia"/>
        </w:rPr>
      </w:pPr>
      <w:r>
        <w:drawing>
          <wp:anchor distT="0" distB="0" distL="114300" distR="114300" simplePos="0" relativeHeight="251664384" behindDoc="0" locked="0" layoutInCell="1" allowOverlap="1">
            <wp:simplePos x="0" y="0"/>
            <wp:positionH relativeFrom="margin">
              <wp:posOffset>1431925</wp:posOffset>
            </wp:positionH>
            <wp:positionV relativeFrom="paragraph">
              <wp:posOffset>412750</wp:posOffset>
            </wp:positionV>
            <wp:extent cx="2857500" cy="4037965"/>
            <wp:effectExtent l="0" t="0" r="0" b="635"/>
            <wp:wrapTopAndBottom/>
            <wp:docPr id="6633274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7481" name="图片 10"/>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57500" cy="4037991"/>
                    </a:xfrm>
                    <a:prstGeom prst="rect">
                      <a:avLst/>
                    </a:prstGeom>
                  </pic:spPr>
                </pic:pic>
              </a:graphicData>
            </a:graphic>
          </wp:anchor>
        </w:drawing>
      </w:r>
      <w:r>
        <w:rPr>
          <w:b/>
          <w:bCs/>
        </w:rPr>
        <w:t>结果:</w:t>
      </w:r>
      <w:r>
        <w:t xml:space="preserve"> 最终得到安吉县水体的总面积为：</w:t>
      </w:r>
      <w:r>
        <w:rPr>
          <w:b/>
          <w:bCs/>
        </w:rPr>
        <w:t xml:space="preserve"> 1,617,386,900 m</w:t>
      </w:r>
      <w:r>
        <w:t>。</w:t>
      </w:r>
    </w:p>
    <w:p w14:paraId="45D2195A">
      <w:pPr>
        <w:pStyle w:val="48"/>
        <w:spacing w:before="624"/>
      </w:pPr>
      <w:r>
        <w:rPr>
          <w:rFonts w:hint="eastAsia"/>
        </w:rPr>
        <w:t>图</w:t>
      </w:r>
      <w:r>
        <w:fldChar w:fldCharType="begin"/>
      </w:r>
      <w:r>
        <w:instrText xml:space="preserve"> QUOTE "</w:instrText>
      </w:r>
      <w:r>
        <w:rPr>
          <w:rFonts w:hint="eastAsia"/>
        </w:rPr>
        <w:instrText xml:space="preserve">二零一七年九月</w:instrText>
      </w:r>
      <w:r>
        <w:fldChar w:fldCharType="begin"/>
      </w:r>
      <w:r>
        <w:instrText xml:space="preserve"> </w:instrText>
      </w:r>
      <w:r>
        <w:rPr>
          <w:rFonts w:hint="eastAsia"/>
        </w:rPr>
        <w:instrText xml:space="preserve">S</w:instrText>
      </w:r>
      <w:r>
        <w:instrText xml:space="preserve">TYLEREF 1 \s </w:instrText>
      </w:r>
      <w:r>
        <w:fldChar w:fldCharType="separate"/>
      </w:r>
      <w:r>
        <w:rPr>
          <w:rFonts w:hint="eastAsia"/>
          <w:b/>
          <w:bCs/>
        </w:rPr>
        <w:instrText xml:space="preserve">错误!文档中没有指定样式的文字。</w:instrText>
      </w:r>
      <w:r>
        <w:fldChar w:fldCharType="end"/>
      </w:r>
      <w:r>
        <w:rPr>
          <w:rFonts w:hint="eastAsia"/>
        </w:rPr>
        <w:instrText xml:space="preserve">日</w:instrText>
      </w:r>
      <w:r>
        <w:instrText xml:space="preserve">" \@ "D" </w:instrText>
      </w:r>
      <w:r>
        <w:fldChar w:fldCharType="separate"/>
      </w:r>
      <w:r>
        <w:t>1</w:t>
      </w:r>
      <w:r>
        <w:fldChar w:fldCharType="end"/>
      </w:r>
      <w:r>
        <w:t>.</w:t>
      </w:r>
      <w:r>
        <w:rPr>
          <w:rFonts w:hint="eastAsia"/>
        </w:rPr>
        <w:t>4　</w:t>
      </w:r>
      <w:sdt>
        <w:sdtPr>
          <w:rPr>
            <w:rFonts w:hint="eastAsia"/>
          </w:rPr>
          <w:id w:val="1651182397"/>
          <w:placeholder>
            <w:docPart w:val="53CEB69F39BA404A994115A75B11AEB5"/>
          </w:placeholder>
          <w:text/>
        </w:sdtPr>
        <w:sdtEndPr>
          <w:rPr>
            <w:rFonts w:hint="eastAsia"/>
          </w:rPr>
        </w:sdtEndPr>
        <w:sdtContent>
          <w:r>
            <w:rPr>
              <w:rFonts w:hint="eastAsia"/>
            </w:rPr>
            <w:t>安吉县水体图</w:t>
          </w:r>
        </w:sdtContent>
      </w:sdt>
    </w:p>
    <w:p w14:paraId="4D61A192">
      <w:pPr>
        <w:pStyle w:val="44"/>
      </w:pPr>
      <w:r>
        <w:rPr>
          <w:rFonts w:hint="eastAsia"/>
        </w:rPr>
        <w:t xml:space="preserve"> 安吉县植被提取及计算</w:t>
      </w:r>
    </w:p>
    <w:p w14:paraId="28E7A053">
      <w:pPr>
        <w:ind w:firstLine="480"/>
        <w:rPr>
          <w:rFonts w:hint="eastAsia"/>
        </w:rPr>
      </w:pPr>
      <w:r>
        <w:t xml:space="preserve">在 </w:t>
      </w:r>
      <w:r>
        <w:rPr>
          <w:b/>
          <w:bCs/>
        </w:rPr>
        <w:t>ENVI</w:t>
      </w:r>
      <w:r>
        <w:t xml:space="preserve"> 软件中首先通过 </w:t>
      </w:r>
      <w:r>
        <w:rPr>
          <w:b/>
          <w:bCs/>
        </w:rPr>
        <w:t>NDVI（归一化植被指数）运算来凸显植被信息。然后，通过设置阈值</w:t>
      </w:r>
      <w:r>
        <w:t>的方法从 NDVI 影像中区分并提取出植被区域。最后，通过遥感软件或 GIS 软件计算出该区域的植被总面积，并根据安吉县的行政总面积计算得出</w:t>
      </w:r>
      <w:r>
        <w:rPr>
          <w:b/>
          <w:bCs/>
        </w:rPr>
        <w:t>植被（或森林）覆盖率</w:t>
      </w:r>
      <w:r>
        <w:t>。</w:t>
      </w:r>
    </w:p>
    <w:p w14:paraId="58FE669E">
      <w:pPr>
        <w:ind w:firstLine="480"/>
      </w:pPr>
      <w:r>
        <w:t>植被面积计算</w:t>
      </w:r>
    </w:p>
    <w:p w14:paraId="32B3ACC4">
      <w:pPr>
        <w:ind w:firstLine="480"/>
      </w:pPr>
      <w:r>
        <w:t xml:space="preserve">面积获取: 在 ENVI 或后续 GIS 软件中，统计分类结果图中所有被标记为“植被区域”的像素总数，然后乘以单个像素的实际面积（10m </w:t>
      </w:r>
      <w:r>
        <w:rPr>
          <w:rFonts w:hint="eastAsia"/>
        </w:rPr>
        <w:t>*</w:t>
      </w:r>
      <w:r>
        <w:t>10m = 100</w:t>
      </w:r>
      <w:r>
        <w:rPr>
          <w:rFonts w:hint="eastAsia"/>
        </w:rPr>
        <w:t>m^2）</w:t>
      </w:r>
      <w:r>
        <w:t>。</w:t>
      </w:r>
    </w:p>
    <w:p w14:paraId="31F7AE3A">
      <w:pPr>
        <w:ind w:firstLine="480"/>
      </w:pPr>
      <w:r>
        <w:t>结果: 计算得安吉县植被区域总面积为 1,391,881,200 m^2。</w:t>
      </w:r>
    </w:p>
    <w:p w14:paraId="05E3A471">
      <w:pPr>
        <w:ind w:firstLine="480"/>
      </w:pPr>
      <w:r>
        <w:t>步骤四：森林覆盖率计算与评估</w:t>
      </w:r>
    </w:p>
    <w:p w14:paraId="09282D77">
      <w:pPr>
        <w:ind w:firstLine="480"/>
      </w:pPr>
      <w:r>
        <w:t>数据核算:</w:t>
      </w:r>
    </w:p>
    <w:p w14:paraId="6564DA5C">
      <w:pPr>
        <w:ind w:firstLine="480"/>
      </w:pPr>
      <w:r>
        <w:t>植被面积（或近似森林面积）： 1,391,881,200 m^2</w:t>
      </w:r>
    </w:p>
    <w:p w14:paraId="6919FB19">
      <w:pPr>
        <w:ind w:firstLine="480"/>
        <w:rPr>
          <w:rFonts w:hint="eastAsia"/>
        </w:rPr>
      </w:pPr>
      <w:r>
        <w:t>安吉县行政总面积（已知资料）：</w:t>
      </w:r>
      <w:r>
        <w:rPr>
          <w:rFonts w:hint="eastAsia"/>
        </w:rPr>
        <w:t>1885.71km^2 = 1885710000m^2</w:t>
      </w:r>
    </w:p>
    <w:p w14:paraId="24C2DBB4">
      <w:pPr>
        <w:ind w:firstLine="480"/>
      </w:pPr>
      <w:r>
        <w:drawing>
          <wp:anchor distT="0" distB="0" distL="114300" distR="114300" simplePos="0" relativeHeight="251665408" behindDoc="0" locked="0" layoutInCell="1" allowOverlap="1">
            <wp:simplePos x="0" y="0"/>
            <wp:positionH relativeFrom="column">
              <wp:posOffset>356870</wp:posOffset>
            </wp:positionH>
            <wp:positionV relativeFrom="paragraph">
              <wp:posOffset>327025</wp:posOffset>
            </wp:positionV>
            <wp:extent cx="4432300" cy="802005"/>
            <wp:effectExtent l="0" t="0" r="6350" b="0"/>
            <wp:wrapTopAndBottom/>
            <wp:docPr id="90044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7992"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432300" cy="802005"/>
                    </a:xfrm>
                    <a:prstGeom prst="rect">
                      <a:avLst/>
                    </a:prstGeom>
                  </pic:spPr>
                </pic:pic>
              </a:graphicData>
            </a:graphic>
          </wp:anchor>
        </w:drawing>
      </w:r>
      <w:r>
        <w:t>公式应用: 代入公式计算覆盖率：</w:t>
      </w:r>
    </w:p>
    <w:p w14:paraId="335939C0">
      <w:pPr>
        <w:ind w:firstLine="480"/>
      </w:pPr>
      <w:r>
        <w:rPr>
          <w:rFonts w:hint="eastAsia"/>
        </w:rPr>
        <w:drawing>
          <wp:anchor distT="0" distB="0" distL="114300" distR="114300" simplePos="0" relativeHeight="251666432" behindDoc="0" locked="0" layoutInCell="1" allowOverlap="1">
            <wp:simplePos x="0" y="0"/>
            <wp:positionH relativeFrom="column">
              <wp:posOffset>864870</wp:posOffset>
            </wp:positionH>
            <wp:positionV relativeFrom="paragraph">
              <wp:posOffset>1292225</wp:posOffset>
            </wp:positionV>
            <wp:extent cx="3822700" cy="5401945"/>
            <wp:effectExtent l="0" t="0" r="6350" b="8890"/>
            <wp:wrapTopAndBottom/>
            <wp:docPr id="2767243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4318" name="图片 1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22700" cy="5401934"/>
                    </a:xfrm>
                    <a:prstGeom prst="rect">
                      <a:avLst/>
                    </a:prstGeom>
                  </pic:spPr>
                </pic:pic>
              </a:graphicData>
            </a:graphic>
          </wp:anchor>
        </w:drawing>
      </w:r>
      <w:r>
        <w:rPr>
          <w:rFonts w:hint="eastAsia"/>
        </w:rPr>
        <w:t>最终得出安吉县的植被（或森林）覆盖率约为 73.8%。</w:t>
      </w:r>
    </w:p>
    <w:p w14:paraId="28B6F4B1">
      <w:pPr>
        <w:pStyle w:val="48"/>
        <w:spacing w:before="624"/>
      </w:pPr>
      <w:r>
        <w:rPr>
          <w:rFonts w:hint="eastAsia"/>
        </w:rPr>
        <w:t>图</w:t>
      </w:r>
      <w:r>
        <w:fldChar w:fldCharType="begin"/>
      </w:r>
      <w:r>
        <w:instrText xml:space="preserve"> QUOTE "</w:instrText>
      </w:r>
      <w:r>
        <w:rPr>
          <w:rFonts w:hint="eastAsia"/>
        </w:rPr>
        <w:instrText xml:space="preserve">二零一七年九月</w:instrText>
      </w:r>
      <w:r>
        <w:fldChar w:fldCharType="begin"/>
      </w:r>
      <w:r>
        <w:instrText xml:space="preserve"> </w:instrText>
      </w:r>
      <w:r>
        <w:rPr>
          <w:rFonts w:hint="eastAsia"/>
        </w:rPr>
        <w:instrText xml:space="preserve">S</w:instrText>
      </w:r>
      <w:r>
        <w:instrText xml:space="preserve">TYLEREF 1 \s </w:instrText>
      </w:r>
      <w:r>
        <w:fldChar w:fldCharType="separate"/>
      </w:r>
      <w:r>
        <w:rPr>
          <w:rFonts w:hint="eastAsia"/>
          <w:b/>
          <w:bCs/>
        </w:rPr>
        <w:instrText xml:space="preserve">错误!文档中没有指定样式的文字。</w:instrText>
      </w:r>
      <w:r>
        <w:fldChar w:fldCharType="end"/>
      </w:r>
      <w:r>
        <w:rPr>
          <w:rFonts w:hint="eastAsia"/>
        </w:rPr>
        <w:instrText xml:space="preserve">日</w:instrText>
      </w:r>
      <w:r>
        <w:instrText xml:space="preserve">" \@ "D" </w:instrText>
      </w:r>
      <w:r>
        <w:fldChar w:fldCharType="separate"/>
      </w:r>
      <w:r>
        <w:t>1</w:t>
      </w:r>
      <w:r>
        <w:fldChar w:fldCharType="end"/>
      </w:r>
      <w:r>
        <w:t>.</w:t>
      </w:r>
      <w:r>
        <w:rPr>
          <w:rFonts w:hint="eastAsia"/>
        </w:rPr>
        <w:t>5　</w:t>
      </w:r>
      <w:sdt>
        <w:sdtPr>
          <w:rPr>
            <w:rFonts w:hint="eastAsia"/>
          </w:rPr>
          <w:id w:val="-568493456"/>
          <w:placeholder>
            <w:docPart w:val="59E373204C394BB8B674E26B1A532A78"/>
          </w:placeholder>
          <w:text/>
        </w:sdtPr>
        <w:sdtEndPr>
          <w:rPr>
            <w:rFonts w:hint="eastAsia"/>
          </w:rPr>
        </w:sdtEndPr>
        <w:sdtContent>
          <w:r>
            <w:rPr>
              <w:rFonts w:hint="eastAsia"/>
            </w:rPr>
            <w:t>安吉县植被图</w:t>
          </w:r>
        </w:sdtContent>
      </w:sdt>
    </w:p>
    <w:p w14:paraId="249F9481">
      <w:pPr>
        <w:ind w:firstLine="480"/>
      </w:pPr>
    </w:p>
    <w:p w14:paraId="14BABB9B">
      <w:pPr>
        <w:pStyle w:val="43"/>
      </w:pPr>
      <w:r>
        <w:rPr>
          <w:rFonts w:hint="eastAsia"/>
        </w:rPr>
        <w:t xml:space="preserve"> 安吉县生境质量评分成果介绍</w:t>
      </w:r>
    </w:p>
    <w:p w14:paraId="698B30C0">
      <w:pPr>
        <w:pStyle w:val="44"/>
      </w:pPr>
      <w:bookmarkStart w:id="0" w:name="_Toc195820449"/>
      <w:r>
        <w:rPr>
          <w:rFonts w:hint="eastAsia"/>
        </w:rPr>
        <w:t>数据来源</w:t>
      </w:r>
      <w:bookmarkEnd w:id="0"/>
    </w:p>
    <w:p w14:paraId="1BDA3581">
      <w:pPr>
        <w:numPr>
          <w:ilvl w:val="0"/>
          <w:numId w:val="2"/>
        </w:numPr>
        <w:ind w:firstLineChars="0"/>
        <w:rPr>
          <w:rFonts w:cs="Times New Roman"/>
        </w:rPr>
      </w:pPr>
      <w:r>
        <w:rPr>
          <w:rFonts w:cs="Times New Roman"/>
        </w:rPr>
        <w:t>从</w:t>
      </w:r>
      <w:r>
        <w:rPr>
          <w:rFonts w:hint="eastAsia" w:cs="Times New Roman"/>
        </w:rPr>
        <w:t>1985-2023年30米分辨率土地覆盖数据（全国/分省/分市）中找到浙江省湖州市安吉县的土地覆盖数据。</w:t>
      </w:r>
    </w:p>
    <w:p w14:paraId="1D436417">
      <w:pPr>
        <w:ind w:left="840" w:firstLine="0" w:firstLineChars="0"/>
        <w:rPr>
          <w:rFonts w:cs="Times New Roman"/>
        </w:rPr>
      </w:pPr>
      <w:r>
        <w:rPr>
          <w:rFonts w:hint="eastAsia" w:cs="Times New Roman"/>
        </w:rPr>
        <w:t>详细的数据说明见链接：</w:t>
      </w:r>
      <w:r>
        <w:fldChar w:fldCharType="begin"/>
      </w:r>
      <w:r>
        <w:instrText xml:space="preserve"> HYPERLINK "https://mp.weixin.qq.com/s/cMB3vORommlGnCju9cusgg" </w:instrText>
      </w:r>
      <w:r>
        <w:fldChar w:fldCharType="separate"/>
      </w:r>
      <w:r>
        <w:rPr>
          <w:rFonts w:cs="Times New Roman"/>
          <w:color w:val="0563C1"/>
          <w:u w:val="single"/>
        </w:rPr>
        <w:t>https://mp.weixin.qq.com/s/cMB3vORommlGnCju9cusgg</w:t>
      </w:r>
      <w:r>
        <w:rPr>
          <w:rFonts w:cs="Times New Roman"/>
          <w:color w:val="0563C1"/>
          <w:u w:val="single"/>
        </w:rPr>
        <w:fldChar w:fldCharType="end"/>
      </w:r>
    </w:p>
    <w:p w14:paraId="3D63921C">
      <w:pPr>
        <w:ind w:left="840" w:firstLine="0" w:firstLineChars="0"/>
        <w:rPr>
          <w:rFonts w:cs="Times New Roman"/>
        </w:rPr>
      </w:pPr>
      <w:r>
        <w:rPr>
          <w:rFonts w:cs="Times New Roman"/>
        </w:rPr>
        <w:t>原始数据下载网址：</w:t>
      </w:r>
      <w:r>
        <w:rPr>
          <w:rFonts w:cs="Times New Roman"/>
        </w:rPr>
        <w:fldChar w:fldCharType="begin"/>
      </w:r>
      <w:r>
        <w:rPr>
          <w:rFonts w:cs="Times New Roman"/>
        </w:rPr>
        <w:instrText xml:space="preserve">HYPERLINK "https://zenodo.org/records/12779975"</w:instrText>
      </w:r>
      <w:r>
        <w:rPr>
          <w:rFonts w:cs="Times New Roman"/>
        </w:rPr>
        <w:fldChar w:fldCharType="separate"/>
      </w:r>
      <w:r>
        <w:rPr>
          <w:rFonts w:cs="Times New Roman"/>
          <w:color w:val="0563C1"/>
          <w:u w:val="single"/>
        </w:rPr>
        <w:t>https://zenodo.org/records/12779975</w:t>
      </w:r>
      <w:r>
        <w:rPr>
          <w:rFonts w:cs="Times New Roman"/>
        </w:rPr>
        <w:fldChar w:fldCharType="end"/>
      </w:r>
    </w:p>
    <w:p w14:paraId="2FE90827">
      <w:pPr>
        <w:numPr>
          <w:ilvl w:val="0"/>
          <w:numId w:val="2"/>
        </w:numPr>
        <w:ind w:firstLineChars="0"/>
        <w:rPr>
          <w:rFonts w:cs="Times New Roman"/>
        </w:rPr>
      </w:pPr>
      <w:r>
        <w:rPr>
          <w:rFonts w:cs="Times New Roman"/>
        </w:rPr>
        <w:t>安吉县行政区划</w:t>
      </w:r>
      <w:r>
        <w:rPr>
          <w:rFonts w:hint="eastAsia" w:cs="Times New Roman"/>
        </w:rPr>
        <w:t>.shp数据。</w:t>
      </w:r>
    </w:p>
    <w:p w14:paraId="19EA7AB1">
      <w:pPr>
        <w:numPr>
          <w:ilvl w:val="0"/>
          <w:numId w:val="2"/>
        </w:numPr>
        <w:ind w:firstLineChars="0"/>
        <w:rPr>
          <w:rFonts w:cs="Times New Roman"/>
        </w:rPr>
      </w:pPr>
      <w:r>
        <w:rPr>
          <w:rFonts w:hint="eastAsia" w:cs="Times New Roman"/>
        </w:rPr>
        <w:t>安吉县高分二号10m</w:t>
      </w:r>
      <w:r>
        <w:rPr>
          <w:rFonts w:cs="Times New Roman"/>
        </w:rPr>
        <w:t>空间分辨率遥感数据。</w:t>
      </w:r>
    </w:p>
    <w:p w14:paraId="53718675">
      <w:pPr>
        <w:numPr>
          <w:ilvl w:val="0"/>
          <w:numId w:val="2"/>
        </w:numPr>
        <w:ind w:firstLineChars="0"/>
        <w:rPr>
          <w:rFonts w:cs="Times New Roman"/>
        </w:rPr>
      </w:pPr>
      <w:r>
        <w:rPr>
          <w:rFonts w:cs="Times New Roman"/>
        </w:rPr>
        <w:t>安吉县sensitivity_willamette和threats_willamette表格数据。</w:t>
      </w:r>
    </w:p>
    <w:p w14:paraId="45400C26">
      <w:pPr>
        <w:pStyle w:val="44"/>
      </w:pPr>
      <w:r>
        <w:rPr>
          <w:rFonts w:hint="eastAsia"/>
        </w:rPr>
        <w:t xml:space="preserve"> </w:t>
      </w:r>
      <w:bookmarkStart w:id="1" w:name="_Toc195820450"/>
      <w:r>
        <w:t>模型介绍</w:t>
      </w:r>
      <w:bookmarkEnd w:id="1"/>
    </w:p>
    <w:p w14:paraId="451ED8E2">
      <w:pPr>
        <w:ind w:firstLine="480"/>
        <w:rPr>
          <w:rFonts w:cs="Times New Roman"/>
        </w:rPr>
      </w:pPr>
      <w:r>
        <w:rPr>
          <w:rFonts w:hint="eastAsia" w:cs="Times New Roman"/>
        </w:rPr>
        <w:t>本研究采用的模型为InVEST模型，即综合生态系统服务与权衡评估模型（Integrated Valuation of Ecosystem Services and Tradeoffs），由美国斯坦福大学自然资本项目组开发。该模型旨在量化评估生态系统服务，并分析土地利用变化对生态系统服务功能及其经济价值的影响。InVEST通过空间显式的方法，结合遥感技术、地理信息数据和生物物理参数，能够评估包括水源涵养、碳储存、生物多样性保护、土壤保持等在内的20余种生态服务模块。这些功能有助于支持决策者在土地规划、生态补偿以及气候变化应对中，量化不同方案的生态效益及其权衡关系。</w:t>
      </w:r>
    </w:p>
    <w:p w14:paraId="4B733017">
      <w:pPr>
        <w:ind w:firstLine="480"/>
        <w:rPr>
          <w:rFonts w:cs="Times New Roman"/>
        </w:rPr>
      </w:pPr>
      <w:r>
        <w:rPr>
          <w:rFonts w:hint="eastAsia" w:cs="Times New Roman"/>
        </w:rPr>
        <w:t>InVEST模型的核心模块包括生境质量（Habitat Quality）、水源供给（Water Yield）、海岸带韧性（Coastal Blue Carbon）等。其模块化设计允许用户根据具体的研究目标灵活选择功能组合，以便生成适合的输出结果。这些结果通常包括空间分布图和价值量化指标，为国土空间规划、生态红线划定以及自然资源资产核算等领域提供了广泛的应用支持。通过这种方式，InVEST模型不仅提高了生态系统服务评估的精度，也为相关政策制定提供了科学依据，模型界面图如1.1所示。</w:t>
      </w:r>
      <w:r>
        <w:rPr>
          <w:rFonts w:cs="Times New Roman"/>
        </w:rPr>
        <w:cr/>
      </w:r>
    </w:p>
    <w:p w14:paraId="1D08C1F7">
      <w:pPr>
        <w:keepNext/>
        <w:spacing w:line="240" w:lineRule="auto"/>
        <w:ind w:firstLine="0" w:firstLineChars="0"/>
        <w:jc w:val="center"/>
        <w:rPr>
          <w:rFonts w:cs="Times New Roman"/>
        </w:rPr>
      </w:pPr>
      <w:r>
        <w:rPr>
          <w:rFonts w:cs="Times New Roman"/>
          <w:sz w:val="21"/>
        </w:rPr>
        <w:drawing>
          <wp:anchor distT="0" distB="0" distL="114300" distR="114300" simplePos="0" relativeHeight="251667456" behindDoc="0" locked="0" layoutInCell="1" allowOverlap="1">
            <wp:simplePos x="0" y="0"/>
            <wp:positionH relativeFrom="margin">
              <wp:align>left</wp:align>
            </wp:positionH>
            <wp:positionV relativeFrom="paragraph">
              <wp:posOffset>10795</wp:posOffset>
            </wp:positionV>
            <wp:extent cx="5759450" cy="3098800"/>
            <wp:effectExtent l="0" t="0" r="0" b="6350"/>
            <wp:wrapSquare wrapText="bothSides"/>
            <wp:docPr id="1515640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40437"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3098800"/>
                    </a:xfrm>
                    <a:prstGeom prst="rect">
                      <a:avLst/>
                    </a:prstGeom>
                  </pic:spPr>
                </pic:pic>
              </a:graphicData>
            </a:graphic>
          </wp:anchor>
        </w:drawing>
      </w:r>
      <w:r>
        <w:rPr>
          <w:rFonts w:hint="eastAsia" w:cs="Times New Roman"/>
        </w:rPr>
        <w:t>图2</w:t>
      </w:r>
      <w:r>
        <w:rPr>
          <w:rFonts w:cs="Times New Roman"/>
        </w:rPr>
        <w:t>.</w:t>
      </w:r>
      <w:r>
        <w:rPr>
          <w:rFonts w:cs="Times New Roman"/>
        </w:rPr>
        <w:fldChar w:fldCharType="begin"/>
      </w:r>
      <w:r>
        <w:rPr>
          <w:rFonts w:cs="Times New Roman"/>
        </w:rPr>
        <w:instrText xml:space="preserve"> </w:instrText>
      </w:r>
      <w:r>
        <w:rPr>
          <w:rFonts w:hint="eastAsia" w:cs="Times New Roman"/>
        </w:rPr>
        <w:instrText xml:space="preserve">SEQ 图 \* ARABIC \s 1</w:instrText>
      </w:r>
      <w:r>
        <w:rPr>
          <w:rFonts w:cs="Times New Roman"/>
        </w:rPr>
        <w:instrText xml:space="preserve"> </w:instrText>
      </w:r>
      <w:r>
        <w:rPr>
          <w:rFonts w:cs="Times New Roman"/>
        </w:rPr>
        <w:fldChar w:fldCharType="separate"/>
      </w:r>
      <w:r>
        <w:rPr>
          <w:rFonts w:cs="Times New Roman"/>
        </w:rPr>
        <w:t>1</w:t>
      </w:r>
      <w:r>
        <w:rPr>
          <w:rFonts w:cs="Times New Roman"/>
        </w:rPr>
        <w:fldChar w:fldCharType="end"/>
      </w:r>
      <w:r>
        <w:rPr>
          <w:rFonts w:hint="eastAsia" w:cs="Times New Roman"/>
        </w:rPr>
        <w:t>　</w:t>
      </w:r>
      <w:sdt>
        <w:sdtPr>
          <w:rPr>
            <w:rFonts w:hint="eastAsia" w:cs="Times New Roman"/>
          </w:rPr>
          <w:id w:val="-1415780191"/>
          <w:placeholder>
            <w:docPart w:val="8BB8FDC3EBA648649FD96BCD6CB45B38"/>
          </w:placeholder>
          <w:text/>
        </w:sdtPr>
        <w:sdtEndPr>
          <w:rPr>
            <w:rFonts w:hint="eastAsia" w:cs="Times New Roman"/>
          </w:rPr>
        </w:sdtEndPr>
        <w:sdtContent>
          <w:r>
            <w:rPr>
              <w:rFonts w:cs="Times New Roman"/>
            </w:rPr>
            <w:t>InVEST</w:t>
          </w:r>
          <w:r>
            <w:rPr>
              <w:rFonts w:hint="eastAsia" w:cs="Times New Roman"/>
            </w:rPr>
            <w:t>模型界面图</w:t>
          </w:r>
        </w:sdtContent>
      </w:sdt>
    </w:p>
    <w:p w14:paraId="7405F1E0">
      <w:pPr>
        <w:pStyle w:val="44"/>
      </w:pPr>
      <w:r>
        <w:rPr>
          <w:rFonts w:hint="eastAsia"/>
        </w:rPr>
        <w:t xml:space="preserve"> </w:t>
      </w:r>
      <w:bookmarkStart w:id="2" w:name="_Toc195820451"/>
      <w:r>
        <w:rPr>
          <w:rFonts w:hint="eastAsia"/>
        </w:rPr>
        <w:t>方法步骤</w:t>
      </w:r>
      <w:bookmarkEnd w:id="2"/>
    </w:p>
    <w:p w14:paraId="231D13B7">
      <w:pPr>
        <w:numPr>
          <w:ilvl w:val="2"/>
          <w:numId w:val="0"/>
        </w:numPr>
        <w:spacing w:before="240" w:after="120" w:line="240" w:lineRule="auto"/>
        <w:outlineLvl w:val="2"/>
        <w:rPr>
          <w:rFonts w:ascii="Arial" w:hAnsi="Arial" w:eastAsia="黑体" w:cs="Times New Roman"/>
          <w:sz w:val="28"/>
        </w:rPr>
      </w:pPr>
      <w:bookmarkStart w:id="3" w:name="_Toc195820452"/>
      <w:r>
        <w:rPr>
          <w:rFonts w:hint="eastAsia" w:ascii="Arial" w:hAnsi="Arial" w:eastAsia="黑体" w:cs="Times New Roman"/>
          <w:sz w:val="28"/>
        </w:rPr>
        <w:t xml:space="preserve"> 数据</w:t>
      </w:r>
      <w:bookmarkEnd w:id="3"/>
      <w:r>
        <w:rPr>
          <w:rFonts w:hint="eastAsia" w:ascii="Arial" w:hAnsi="Arial" w:eastAsia="黑体" w:cs="Times New Roman"/>
          <w:sz w:val="28"/>
        </w:rPr>
        <w:t>导入</w:t>
      </w:r>
    </w:p>
    <w:p w14:paraId="2D8A1857">
      <w:pPr>
        <w:ind w:firstLine="480"/>
        <w:rPr>
          <w:rFonts w:cs="Times New Roman"/>
        </w:rPr>
      </w:pPr>
      <w:r>
        <w:rPr>
          <w:rFonts w:hint="eastAsia" w:cs="Times New Roman"/>
        </w:rPr>
        <w:t>在该步骤中，首先获取2023年浙江省湖州市安吉县的最新土地覆盖数据。这些数据通常以栅格格式提供，确保其兼容性以便在地理信息系统（GIS）中进行处理。使用ArcGIS软件，将土地覆盖数据导入工作空间，并确保数据的投影系统与研究区域一致，以避免空间分析中的偏差。</w:t>
      </w:r>
    </w:p>
    <w:p w14:paraId="25D498AD">
      <w:pPr>
        <w:numPr>
          <w:ilvl w:val="2"/>
          <w:numId w:val="0"/>
        </w:numPr>
        <w:spacing w:before="240" w:after="120" w:line="240" w:lineRule="auto"/>
        <w:outlineLvl w:val="2"/>
        <w:rPr>
          <w:rFonts w:ascii="Arial" w:hAnsi="Arial" w:eastAsia="黑体" w:cs="Times New Roman"/>
          <w:sz w:val="28"/>
        </w:rPr>
      </w:pPr>
      <w:r>
        <w:rPr>
          <w:rFonts w:hint="eastAsia" w:ascii="Arial" w:hAnsi="Arial" w:eastAsia="黑体" w:cs="Times New Roman"/>
          <w:sz w:val="28"/>
        </w:rPr>
        <w:t xml:space="preserve"> </w:t>
      </w:r>
      <w:bookmarkStart w:id="4" w:name="_Toc195820453"/>
      <w:r>
        <w:rPr>
          <w:rFonts w:hint="eastAsia" w:ascii="Arial" w:hAnsi="Arial" w:eastAsia="黑体" w:cs="Times New Roman"/>
          <w:sz w:val="28"/>
        </w:rPr>
        <w:t>初步重分类</w:t>
      </w:r>
      <w:bookmarkEnd w:id="4"/>
    </w:p>
    <w:p w14:paraId="0FEB64CE">
      <w:pPr>
        <w:ind w:firstLine="480"/>
        <w:rPr>
          <w:rFonts w:hint="eastAsia" w:cs="Times New Roman"/>
        </w:rPr>
      </w:pPr>
      <w:r>
        <w:rPr>
          <w:rFonts w:hint="eastAsia" w:cs="Times New Roman"/>
        </w:rPr>
        <w:t>根据中国科学院地理研究所的土地利用分类标准，对导入的数据进行重分类。在ArcGIS中使用重分类工具，将不同的土地覆盖类型映射为标准化的土地利用类型，例如农业用地、森林、草地、城市用地等。这一过程需要对每种土地覆盖类型的特征进行深入理解，以确保重分类的准确性，重分类的图如2.2所示。</w:t>
      </w:r>
    </w:p>
    <w:p w14:paraId="4466756D">
      <w:pPr>
        <w:ind w:firstLine="0" w:firstLineChars="0"/>
        <w:rPr>
          <w:rFonts w:cs="Times New Roman"/>
        </w:rPr>
      </w:pPr>
      <w:r>
        <w:rPr>
          <w:rFonts w:hint="eastAsia" w:cs="Times New Roman"/>
        </w:rPr>
        <w:t>中国科学院资源环境与数据土地利用分类平台：</w:t>
      </w:r>
    </w:p>
    <w:p w14:paraId="1263AB0E">
      <w:pPr>
        <w:ind w:firstLine="0" w:firstLineChars="0"/>
        <w:rPr>
          <w:rFonts w:hint="eastAsia" w:cs="Times New Roman"/>
        </w:rPr>
      </w:pPr>
      <w:r>
        <w:rPr>
          <w:rFonts w:hint="eastAsia" w:cs="Times New Roman"/>
        </w:rPr>
        <w:t>见链接：https://www.resdc.cn/data.aspx?DATAID=3</w:t>
      </w:r>
    </w:p>
    <w:p w14:paraId="0354AA21">
      <w:pPr>
        <w:ind w:firstLine="480"/>
        <w:rPr>
          <w:rFonts w:hint="eastAsia" w:cs="Times New Roman"/>
        </w:rPr>
      </w:pPr>
      <w:r>
        <w:drawing>
          <wp:anchor distT="0" distB="0" distL="114300" distR="114300" simplePos="0" relativeHeight="251669504" behindDoc="0" locked="0" layoutInCell="1" allowOverlap="1">
            <wp:simplePos x="0" y="0"/>
            <wp:positionH relativeFrom="margin">
              <wp:posOffset>638175</wp:posOffset>
            </wp:positionH>
            <wp:positionV relativeFrom="paragraph">
              <wp:posOffset>337185</wp:posOffset>
            </wp:positionV>
            <wp:extent cx="4419600" cy="6245860"/>
            <wp:effectExtent l="0" t="0" r="0" b="2540"/>
            <wp:wrapTopAndBottom/>
            <wp:docPr id="210288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82323"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9600" cy="6245860"/>
                    </a:xfrm>
                    <a:prstGeom prst="rect">
                      <a:avLst/>
                    </a:prstGeom>
                  </pic:spPr>
                </pic:pic>
              </a:graphicData>
            </a:graphic>
          </wp:anchor>
        </w:drawing>
      </w:r>
    </w:p>
    <w:p w14:paraId="29B3BD53">
      <w:pPr>
        <w:pStyle w:val="48"/>
        <w:spacing w:before="624"/>
        <w:rPr>
          <w:rFonts w:hint="eastAsia"/>
        </w:rPr>
      </w:pPr>
      <w:r>
        <w:rPr>
          <w:rFonts w:hint="eastAsia"/>
        </w:rPr>
        <w:t>图2</w:t>
      </w:r>
      <w:r>
        <w:t>.</w:t>
      </w:r>
      <w:r>
        <w:rPr>
          <w:rFonts w:hint="eastAsia"/>
        </w:rPr>
        <w:t>2　</w:t>
      </w:r>
      <w:sdt>
        <w:sdtPr>
          <w:rPr>
            <w:rFonts w:hint="eastAsia"/>
          </w:rPr>
          <w:id w:val="-1063791966"/>
          <w:placeholder>
            <w:docPart w:val="E71ECCAEDC8C4DB1B6A969C0E0D03035"/>
          </w:placeholder>
          <w:text/>
        </w:sdtPr>
        <w:sdtEndPr>
          <w:rPr>
            <w:rFonts w:hint="eastAsia"/>
          </w:rPr>
        </w:sdtEndPr>
        <w:sdtContent>
          <w:r>
            <w:rPr>
              <w:rFonts w:hint="eastAsia"/>
            </w:rPr>
            <w:t>重分类后的安吉县土地利用数据</w:t>
          </w:r>
        </w:sdtContent>
      </w:sdt>
    </w:p>
    <w:p w14:paraId="6F72F41D">
      <w:pPr>
        <w:numPr>
          <w:ilvl w:val="2"/>
          <w:numId w:val="0"/>
        </w:numPr>
        <w:spacing w:before="240" w:after="120" w:line="240" w:lineRule="auto"/>
        <w:outlineLvl w:val="2"/>
        <w:rPr>
          <w:rFonts w:ascii="Arial" w:hAnsi="Arial" w:eastAsia="黑体" w:cs="Times New Roman"/>
          <w:sz w:val="28"/>
        </w:rPr>
      </w:pPr>
      <w:bookmarkStart w:id="5" w:name="_Toc195820454"/>
      <w:r>
        <w:rPr>
          <w:rFonts w:hint="eastAsia" w:ascii="Arial" w:hAnsi="Arial" w:eastAsia="黑体" w:cs="Times New Roman"/>
          <w:sz w:val="28"/>
        </w:rPr>
        <w:t xml:space="preserve"> 威胁类型识别与重分类</w:t>
      </w:r>
      <w:bookmarkEnd w:id="5"/>
    </w:p>
    <w:p w14:paraId="280BEA02">
      <w:pPr>
        <w:ind w:firstLine="480"/>
        <w:rPr>
          <w:rFonts w:cs="Times New Roman"/>
        </w:rPr>
      </w:pPr>
      <w:r>
        <w:rPr>
          <w:rFonts w:hint="eastAsia" w:cs="Times New Roman"/>
        </w:rPr>
        <w:t>识别在生态系统中可能构成威胁的土地利用类型，例如城市扩张、道路建设等。这些类型需要进行进一步的重分类，以便在后续分析中作为潜在威胁因子。导出这些重分类后的数据集，以便在InVEST模型中进行输入。</w:t>
      </w:r>
    </w:p>
    <w:p w14:paraId="6C1D10BC">
      <w:pPr>
        <w:numPr>
          <w:ilvl w:val="2"/>
          <w:numId w:val="0"/>
        </w:numPr>
        <w:spacing w:before="240" w:after="120" w:line="240" w:lineRule="auto"/>
        <w:outlineLvl w:val="2"/>
        <w:rPr>
          <w:rFonts w:ascii="Arial" w:hAnsi="Arial" w:eastAsia="黑体" w:cs="Times New Roman"/>
          <w:sz w:val="28"/>
        </w:rPr>
      </w:pPr>
      <w:r>
        <w:rPr>
          <w:rFonts w:hint="eastAsia" w:ascii="Arial" w:hAnsi="Arial" w:eastAsia="黑体" w:cs="Times New Roman"/>
          <w:sz w:val="28"/>
        </w:rPr>
        <w:t xml:space="preserve"> </w:t>
      </w:r>
      <w:bookmarkStart w:id="6" w:name="_Toc195820455"/>
      <w:r>
        <w:rPr>
          <w:rFonts w:hint="eastAsia" w:ascii="Arial" w:hAnsi="Arial" w:eastAsia="黑体" w:cs="Times New Roman"/>
          <w:sz w:val="28"/>
        </w:rPr>
        <w:t>创建敏感性与威胁表格</w:t>
      </w:r>
      <w:bookmarkEnd w:id="6"/>
    </w:p>
    <w:p w14:paraId="3217FD79">
      <w:pPr>
        <w:ind w:firstLine="480"/>
        <w:rPr>
          <w:rFonts w:cs="Times New Roman"/>
        </w:rPr>
      </w:pPr>
      <w:r>
        <w:rPr>
          <w:rFonts w:hint="eastAsia" w:cs="Times New Roman"/>
        </w:rPr>
        <w:t>根据相关文献和研究资料，创建安吉县的sensitivity_willamette，如表2.1所示和threats_willamette表格数据，如表2.2所示。这些表格需要包含生境质量评估中的关键因素，如不同土地利用类型的敏感性评分以及各类威胁的影响因子。这些数据将用于定义模型参数，以提高评估过程的准确性。</w:t>
      </w:r>
    </w:p>
    <w:p w14:paraId="4E18DB1E">
      <w:pPr>
        <w:pStyle w:val="54"/>
        <w:ind w:firstLine="480"/>
        <w:rPr>
          <w:rFonts w:hint="eastAsia"/>
        </w:rPr>
      </w:pPr>
      <w:r>
        <w:rPr>
          <w:rFonts w:hint="eastAsia"/>
        </w:rPr>
        <w:t>表2</w:t>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w:t>
      </w:r>
      <w:sdt>
        <w:sdtPr>
          <w:rPr>
            <w:rFonts w:hint="eastAsia"/>
          </w:rPr>
          <w:id w:val="2143000712"/>
          <w:placeholder>
            <w:docPart w:val="330FCCFBF53C4895BDC02101DE566D7E"/>
          </w:placeholder>
          <w:text/>
        </w:sdtPr>
        <w:sdtEndPr>
          <w:rPr>
            <w:rFonts w:hint="eastAsia"/>
          </w:rPr>
        </w:sdtEndPr>
        <w:sdtContent>
          <w:r>
            <w:rPr>
              <w:rFonts w:hint="eastAsia"/>
            </w:rPr>
            <w:t>安吉县敏感性表格</w:t>
          </w:r>
        </w:sdtContent>
      </w:sdt>
    </w:p>
    <w:tbl>
      <w:tblPr>
        <w:tblStyle w:val="52"/>
        <w:tblW w:w="10698" w:type="dxa"/>
        <w:tblInd w:w="-81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4"/>
        <w:gridCol w:w="1190"/>
        <w:gridCol w:w="1224"/>
        <w:gridCol w:w="1296"/>
        <w:gridCol w:w="1416"/>
        <w:gridCol w:w="1376"/>
        <w:gridCol w:w="1643"/>
        <w:gridCol w:w="1209"/>
      </w:tblGrid>
      <w:tr w14:paraId="0793E9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tcBorders>
              <w:top w:val="single" w:color="auto" w:sz="12" w:space="0"/>
              <w:left w:val="nil"/>
              <w:bottom w:val="single" w:color="auto" w:sz="4" w:space="0"/>
              <w:right w:val="nil"/>
              <w:insideH w:val="single" w:sz="4" w:space="0"/>
              <w:insideV w:val="nil"/>
              <w:tl2br w:val="nil"/>
              <w:tr2bl w:val="nil"/>
            </w:tcBorders>
            <w:noWrap/>
          </w:tcPr>
          <w:p w14:paraId="2EB25442">
            <w:pPr>
              <w:ind w:firstLine="0" w:firstLineChars="0"/>
              <w:jc w:val="center"/>
              <w:rPr>
                <w:rFonts w:cs="Times New Roman"/>
              </w:rPr>
            </w:pPr>
            <w:r>
              <w:rPr>
                <w:rFonts w:hint="eastAsia" w:cs="Times New Roman"/>
              </w:rPr>
              <w:t>LULC</w:t>
            </w:r>
          </w:p>
        </w:tc>
        <w:tc>
          <w:tcPr>
            <w:tcW w:w="1190" w:type="dxa"/>
            <w:tcBorders>
              <w:top w:val="single" w:color="auto" w:sz="12" w:space="0"/>
              <w:bottom w:val="single" w:color="auto" w:sz="4" w:space="0"/>
              <w:right w:val="nil"/>
              <w:insideH w:val="single" w:sz="4" w:space="0"/>
              <w:insideV w:val="nil"/>
              <w:tl2br w:val="nil"/>
              <w:tr2bl w:val="nil"/>
            </w:tcBorders>
            <w:noWrap/>
          </w:tcPr>
          <w:p w14:paraId="0A572C9D">
            <w:pPr>
              <w:ind w:firstLine="0" w:firstLineChars="0"/>
              <w:jc w:val="center"/>
              <w:rPr>
                <w:rFonts w:hint="eastAsia" w:cs="Times New Roman"/>
              </w:rPr>
            </w:pPr>
            <w:r>
              <w:rPr>
                <w:rFonts w:hint="eastAsia" w:cs="Times New Roman"/>
              </w:rPr>
              <w:t>NAME</w:t>
            </w:r>
          </w:p>
        </w:tc>
        <w:tc>
          <w:tcPr>
            <w:tcW w:w="1224" w:type="dxa"/>
            <w:tcBorders>
              <w:top w:val="single" w:color="auto" w:sz="12" w:space="0"/>
              <w:bottom w:val="single" w:color="auto" w:sz="4" w:space="0"/>
              <w:right w:val="nil"/>
              <w:insideH w:val="single" w:sz="4" w:space="0"/>
              <w:insideV w:val="nil"/>
              <w:tl2br w:val="nil"/>
              <w:tr2bl w:val="nil"/>
            </w:tcBorders>
            <w:noWrap/>
          </w:tcPr>
          <w:p w14:paraId="4D574532">
            <w:pPr>
              <w:ind w:firstLine="0" w:firstLineChars="0"/>
              <w:jc w:val="center"/>
              <w:rPr>
                <w:rFonts w:hint="eastAsia" w:cs="Times New Roman"/>
              </w:rPr>
            </w:pPr>
            <w:r>
              <w:rPr>
                <w:rFonts w:hint="eastAsia" w:cs="Times New Roman"/>
              </w:rPr>
              <w:t>HABITAT</w:t>
            </w:r>
          </w:p>
        </w:tc>
        <w:tc>
          <w:tcPr>
            <w:tcW w:w="1296" w:type="dxa"/>
            <w:tcBorders>
              <w:top w:val="single" w:color="auto" w:sz="12" w:space="0"/>
              <w:bottom w:val="single" w:color="auto" w:sz="4" w:space="0"/>
              <w:right w:val="nil"/>
              <w:insideH w:val="single" w:sz="4" w:space="0"/>
              <w:insideV w:val="nil"/>
              <w:tl2br w:val="nil"/>
              <w:tr2bl w:val="nil"/>
            </w:tcBorders>
            <w:noWrap/>
          </w:tcPr>
          <w:p w14:paraId="280677EA">
            <w:pPr>
              <w:ind w:firstLine="480"/>
              <w:jc w:val="center"/>
              <w:rPr>
                <w:rFonts w:hint="eastAsia" w:cs="Times New Roman"/>
              </w:rPr>
            </w:pPr>
            <w:r>
              <w:rPr>
                <w:rFonts w:hint="eastAsia" w:cs="Times New Roman"/>
              </w:rPr>
              <w:t>manre</w:t>
            </w:r>
          </w:p>
        </w:tc>
        <w:tc>
          <w:tcPr>
            <w:tcW w:w="1416" w:type="dxa"/>
            <w:tcBorders>
              <w:top w:val="single" w:color="auto" w:sz="12" w:space="0"/>
              <w:bottom w:val="single" w:color="auto" w:sz="4" w:space="0"/>
              <w:right w:val="nil"/>
              <w:insideH w:val="single" w:sz="4" w:space="0"/>
              <w:insideV w:val="nil"/>
              <w:tl2br w:val="nil"/>
              <w:tr2bl w:val="nil"/>
            </w:tcBorders>
            <w:noWrap/>
          </w:tcPr>
          <w:p w14:paraId="1B33234D">
            <w:pPr>
              <w:ind w:firstLine="480"/>
              <w:jc w:val="center"/>
              <w:rPr>
                <w:rFonts w:hint="eastAsia" w:cs="Times New Roman"/>
              </w:rPr>
            </w:pPr>
            <w:r>
              <w:rPr>
                <w:rFonts w:hint="eastAsia" w:cs="Times New Roman"/>
              </w:rPr>
              <w:t>waterre</w:t>
            </w:r>
          </w:p>
        </w:tc>
        <w:tc>
          <w:tcPr>
            <w:tcW w:w="1376" w:type="dxa"/>
            <w:tcBorders>
              <w:top w:val="single" w:color="auto" w:sz="12" w:space="0"/>
              <w:bottom w:val="single" w:color="auto" w:sz="4" w:space="0"/>
              <w:right w:val="nil"/>
              <w:insideH w:val="single" w:sz="4" w:space="0"/>
              <w:insideV w:val="nil"/>
              <w:tl2br w:val="nil"/>
              <w:tr2bl w:val="nil"/>
            </w:tcBorders>
            <w:noWrap/>
          </w:tcPr>
          <w:p w14:paraId="13DE0BE7">
            <w:pPr>
              <w:ind w:firstLine="480"/>
              <w:jc w:val="center"/>
              <w:rPr>
                <w:rFonts w:hint="eastAsia" w:cs="Times New Roman"/>
              </w:rPr>
            </w:pPr>
            <w:r>
              <w:rPr>
                <w:rFonts w:hint="eastAsia" w:cs="Times New Roman"/>
              </w:rPr>
              <w:t>luodire</w:t>
            </w:r>
          </w:p>
        </w:tc>
        <w:tc>
          <w:tcPr>
            <w:tcW w:w="1643" w:type="dxa"/>
            <w:tcBorders>
              <w:top w:val="single" w:color="auto" w:sz="12" w:space="0"/>
              <w:bottom w:val="single" w:color="auto" w:sz="4" w:space="0"/>
              <w:right w:val="nil"/>
              <w:insideH w:val="single" w:sz="4" w:space="0"/>
              <w:insideV w:val="nil"/>
              <w:tl2br w:val="nil"/>
              <w:tr2bl w:val="nil"/>
            </w:tcBorders>
            <w:noWrap/>
          </w:tcPr>
          <w:p w14:paraId="487B68F8">
            <w:pPr>
              <w:ind w:firstLine="480"/>
              <w:jc w:val="center"/>
              <w:rPr>
                <w:rFonts w:hint="eastAsia" w:cs="Times New Roman"/>
              </w:rPr>
            </w:pPr>
            <w:r>
              <w:rPr>
                <w:rFonts w:hint="eastAsia" w:cs="Times New Roman"/>
              </w:rPr>
              <w:t>shuitianre</w:t>
            </w:r>
          </w:p>
        </w:tc>
        <w:tc>
          <w:tcPr>
            <w:tcW w:w="1209" w:type="dxa"/>
            <w:tcBorders>
              <w:top w:val="single" w:color="auto" w:sz="12" w:space="0"/>
              <w:bottom w:val="single" w:color="auto" w:sz="4" w:space="0"/>
              <w:right w:val="nil"/>
              <w:insideH w:val="single" w:sz="4" w:space="0"/>
              <w:insideV w:val="nil"/>
              <w:tl2br w:val="nil"/>
              <w:tr2bl w:val="nil"/>
            </w:tcBorders>
            <w:noWrap/>
          </w:tcPr>
          <w:p w14:paraId="4176D9F2">
            <w:pPr>
              <w:ind w:firstLine="480"/>
              <w:jc w:val="center"/>
              <w:rPr>
                <w:rFonts w:hint="eastAsia" w:cs="Times New Roman"/>
              </w:rPr>
            </w:pPr>
            <w:r>
              <w:rPr>
                <w:rFonts w:hint="eastAsia" w:cs="Times New Roman"/>
              </w:rPr>
              <w:t>qs</w:t>
            </w:r>
          </w:p>
        </w:tc>
      </w:tr>
      <w:tr w14:paraId="0B6090D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noWrap/>
          </w:tcPr>
          <w:p w14:paraId="506A7814">
            <w:pPr>
              <w:ind w:firstLine="480"/>
              <w:jc w:val="center"/>
              <w:rPr>
                <w:rFonts w:hint="eastAsia" w:cs="Times New Roman"/>
              </w:rPr>
            </w:pPr>
            <w:r>
              <w:rPr>
                <w:rFonts w:hint="eastAsia" w:cs="Times New Roman"/>
              </w:rPr>
              <w:t>1</w:t>
            </w:r>
          </w:p>
        </w:tc>
        <w:tc>
          <w:tcPr>
            <w:tcW w:w="1190" w:type="dxa"/>
            <w:noWrap/>
          </w:tcPr>
          <w:p w14:paraId="1F8D8530">
            <w:pPr>
              <w:ind w:firstLine="480"/>
              <w:jc w:val="center"/>
              <w:rPr>
                <w:rFonts w:hint="eastAsia" w:cs="Times New Roman"/>
              </w:rPr>
            </w:pPr>
            <w:r>
              <w:rPr>
                <w:rFonts w:hint="eastAsia" w:cs="Times New Roman"/>
              </w:rPr>
              <w:t>gd</w:t>
            </w:r>
          </w:p>
        </w:tc>
        <w:tc>
          <w:tcPr>
            <w:tcW w:w="1224" w:type="dxa"/>
            <w:noWrap/>
          </w:tcPr>
          <w:p w14:paraId="133B47D3">
            <w:pPr>
              <w:ind w:firstLine="480"/>
              <w:jc w:val="center"/>
              <w:rPr>
                <w:rFonts w:hint="eastAsia" w:cs="Times New Roman"/>
              </w:rPr>
            </w:pPr>
            <w:r>
              <w:rPr>
                <w:rFonts w:hint="eastAsia" w:cs="Times New Roman"/>
              </w:rPr>
              <w:t>0.5</w:t>
            </w:r>
          </w:p>
        </w:tc>
        <w:tc>
          <w:tcPr>
            <w:tcW w:w="1296" w:type="dxa"/>
            <w:noWrap/>
          </w:tcPr>
          <w:p w14:paraId="643F24C5">
            <w:pPr>
              <w:ind w:firstLine="480"/>
              <w:jc w:val="center"/>
              <w:rPr>
                <w:rFonts w:hint="eastAsia" w:cs="Times New Roman"/>
              </w:rPr>
            </w:pPr>
            <w:r>
              <w:rPr>
                <w:rFonts w:hint="eastAsia" w:cs="Times New Roman"/>
              </w:rPr>
              <w:t>0.25</w:t>
            </w:r>
          </w:p>
        </w:tc>
        <w:tc>
          <w:tcPr>
            <w:tcW w:w="1416" w:type="dxa"/>
            <w:noWrap/>
          </w:tcPr>
          <w:p w14:paraId="65727F78">
            <w:pPr>
              <w:ind w:firstLine="480"/>
              <w:jc w:val="center"/>
              <w:rPr>
                <w:rFonts w:hint="eastAsia" w:cs="Times New Roman"/>
              </w:rPr>
            </w:pPr>
            <w:r>
              <w:rPr>
                <w:rFonts w:hint="eastAsia" w:cs="Times New Roman"/>
              </w:rPr>
              <w:t>0.3</w:t>
            </w:r>
          </w:p>
        </w:tc>
        <w:tc>
          <w:tcPr>
            <w:tcW w:w="1376" w:type="dxa"/>
            <w:noWrap/>
          </w:tcPr>
          <w:p w14:paraId="7490F9A1">
            <w:pPr>
              <w:ind w:firstLine="480"/>
              <w:jc w:val="center"/>
              <w:rPr>
                <w:rFonts w:hint="eastAsia" w:cs="Times New Roman"/>
              </w:rPr>
            </w:pPr>
            <w:r>
              <w:rPr>
                <w:rFonts w:hint="eastAsia" w:cs="Times New Roman"/>
              </w:rPr>
              <w:t>0.5</w:t>
            </w:r>
          </w:p>
        </w:tc>
        <w:tc>
          <w:tcPr>
            <w:tcW w:w="1643" w:type="dxa"/>
            <w:noWrap/>
          </w:tcPr>
          <w:p w14:paraId="78C589EC">
            <w:pPr>
              <w:ind w:firstLine="480"/>
              <w:jc w:val="center"/>
              <w:rPr>
                <w:rFonts w:hint="eastAsia" w:cs="Times New Roman"/>
              </w:rPr>
            </w:pPr>
            <w:r>
              <w:rPr>
                <w:rFonts w:hint="eastAsia" w:cs="Times New Roman"/>
              </w:rPr>
              <w:t>0.4</w:t>
            </w:r>
          </w:p>
        </w:tc>
        <w:tc>
          <w:tcPr>
            <w:tcW w:w="1209" w:type="dxa"/>
            <w:noWrap/>
          </w:tcPr>
          <w:p w14:paraId="4D492D6D">
            <w:pPr>
              <w:ind w:firstLine="480"/>
              <w:jc w:val="center"/>
              <w:rPr>
                <w:rFonts w:hint="eastAsia" w:cs="Times New Roman"/>
              </w:rPr>
            </w:pPr>
            <w:r>
              <w:rPr>
                <w:rFonts w:hint="eastAsia" w:cs="Times New Roman"/>
              </w:rPr>
              <w:t>0.5</w:t>
            </w:r>
          </w:p>
        </w:tc>
      </w:tr>
      <w:tr w14:paraId="64D5890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noWrap/>
          </w:tcPr>
          <w:p w14:paraId="12A0F3E1">
            <w:pPr>
              <w:ind w:firstLine="480"/>
              <w:jc w:val="center"/>
              <w:rPr>
                <w:rFonts w:hint="eastAsia" w:cs="Times New Roman"/>
              </w:rPr>
            </w:pPr>
            <w:r>
              <w:rPr>
                <w:rFonts w:hint="eastAsia" w:cs="Times New Roman"/>
              </w:rPr>
              <w:t>2</w:t>
            </w:r>
          </w:p>
        </w:tc>
        <w:tc>
          <w:tcPr>
            <w:tcW w:w="1190" w:type="dxa"/>
            <w:noWrap/>
          </w:tcPr>
          <w:p w14:paraId="43B8B091">
            <w:pPr>
              <w:ind w:firstLine="480"/>
              <w:jc w:val="center"/>
              <w:rPr>
                <w:rFonts w:hint="eastAsia" w:cs="Times New Roman"/>
              </w:rPr>
            </w:pPr>
            <w:r>
              <w:rPr>
                <w:rFonts w:hint="eastAsia" w:cs="Times New Roman"/>
              </w:rPr>
              <w:t>ld</w:t>
            </w:r>
          </w:p>
        </w:tc>
        <w:tc>
          <w:tcPr>
            <w:tcW w:w="1224" w:type="dxa"/>
            <w:noWrap/>
          </w:tcPr>
          <w:p w14:paraId="1F5A7C80">
            <w:pPr>
              <w:ind w:firstLine="480"/>
              <w:jc w:val="center"/>
              <w:rPr>
                <w:rFonts w:hint="eastAsia" w:cs="Times New Roman"/>
              </w:rPr>
            </w:pPr>
            <w:r>
              <w:rPr>
                <w:rFonts w:hint="eastAsia" w:cs="Times New Roman"/>
              </w:rPr>
              <w:t>1</w:t>
            </w:r>
          </w:p>
        </w:tc>
        <w:tc>
          <w:tcPr>
            <w:tcW w:w="1296" w:type="dxa"/>
            <w:noWrap/>
          </w:tcPr>
          <w:p w14:paraId="6D66FB76">
            <w:pPr>
              <w:ind w:firstLine="480"/>
              <w:jc w:val="center"/>
              <w:rPr>
                <w:rFonts w:hint="eastAsia" w:cs="Times New Roman"/>
              </w:rPr>
            </w:pPr>
            <w:r>
              <w:rPr>
                <w:rFonts w:hint="eastAsia" w:cs="Times New Roman"/>
              </w:rPr>
              <w:t>0.7</w:t>
            </w:r>
          </w:p>
        </w:tc>
        <w:tc>
          <w:tcPr>
            <w:tcW w:w="1416" w:type="dxa"/>
            <w:noWrap/>
          </w:tcPr>
          <w:p w14:paraId="22C9CA37">
            <w:pPr>
              <w:ind w:firstLine="480"/>
              <w:jc w:val="center"/>
              <w:rPr>
                <w:rFonts w:hint="eastAsia" w:cs="Times New Roman"/>
              </w:rPr>
            </w:pPr>
            <w:r>
              <w:rPr>
                <w:rFonts w:hint="eastAsia" w:cs="Times New Roman"/>
              </w:rPr>
              <w:t>0.8</w:t>
            </w:r>
          </w:p>
        </w:tc>
        <w:tc>
          <w:tcPr>
            <w:tcW w:w="1376" w:type="dxa"/>
            <w:noWrap/>
          </w:tcPr>
          <w:p w14:paraId="325F6CA2">
            <w:pPr>
              <w:ind w:firstLine="480"/>
              <w:jc w:val="center"/>
              <w:rPr>
                <w:rFonts w:hint="eastAsia" w:cs="Times New Roman"/>
              </w:rPr>
            </w:pPr>
            <w:r>
              <w:rPr>
                <w:rFonts w:hint="eastAsia" w:cs="Times New Roman"/>
              </w:rPr>
              <w:t>0.9</w:t>
            </w:r>
          </w:p>
        </w:tc>
        <w:tc>
          <w:tcPr>
            <w:tcW w:w="1643" w:type="dxa"/>
            <w:noWrap/>
          </w:tcPr>
          <w:p w14:paraId="11D755BA">
            <w:pPr>
              <w:ind w:firstLine="480"/>
              <w:jc w:val="center"/>
              <w:rPr>
                <w:rFonts w:hint="eastAsia" w:cs="Times New Roman"/>
              </w:rPr>
            </w:pPr>
            <w:r>
              <w:rPr>
                <w:rFonts w:hint="eastAsia" w:cs="Times New Roman"/>
              </w:rPr>
              <w:t>0.8</w:t>
            </w:r>
          </w:p>
        </w:tc>
        <w:tc>
          <w:tcPr>
            <w:tcW w:w="1209" w:type="dxa"/>
            <w:noWrap/>
          </w:tcPr>
          <w:p w14:paraId="0D007001">
            <w:pPr>
              <w:ind w:firstLine="480"/>
              <w:jc w:val="center"/>
              <w:rPr>
                <w:rFonts w:hint="eastAsia" w:cs="Times New Roman"/>
              </w:rPr>
            </w:pPr>
            <w:r>
              <w:rPr>
                <w:rFonts w:hint="eastAsia" w:cs="Times New Roman"/>
              </w:rPr>
              <w:t>0.7</w:t>
            </w:r>
          </w:p>
        </w:tc>
      </w:tr>
      <w:tr w14:paraId="14D544A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noWrap/>
          </w:tcPr>
          <w:p w14:paraId="6EF63033">
            <w:pPr>
              <w:ind w:firstLine="480"/>
              <w:jc w:val="center"/>
              <w:rPr>
                <w:rFonts w:hint="eastAsia" w:cs="Times New Roman"/>
              </w:rPr>
            </w:pPr>
            <w:r>
              <w:rPr>
                <w:rFonts w:hint="eastAsia" w:cs="Times New Roman"/>
              </w:rPr>
              <w:t>3</w:t>
            </w:r>
          </w:p>
        </w:tc>
        <w:tc>
          <w:tcPr>
            <w:tcW w:w="1190" w:type="dxa"/>
            <w:noWrap/>
          </w:tcPr>
          <w:p w14:paraId="75A3F4E2">
            <w:pPr>
              <w:ind w:firstLine="480"/>
              <w:jc w:val="center"/>
              <w:rPr>
                <w:rFonts w:hint="eastAsia" w:cs="Times New Roman"/>
              </w:rPr>
            </w:pPr>
            <w:r>
              <w:rPr>
                <w:rFonts w:hint="eastAsia" w:cs="Times New Roman"/>
              </w:rPr>
              <w:t>cd</w:t>
            </w:r>
          </w:p>
        </w:tc>
        <w:tc>
          <w:tcPr>
            <w:tcW w:w="1224" w:type="dxa"/>
            <w:noWrap/>
          </w:tcPr>
          <w:p w14:paraId="2DF672B8">
            <w:pPr>
              <w:ind w:firstLine="480"/>
              <w:jc w:val="center"/>
              <w:rPr>
                <w:rFonts w:hint="eastAsia" w:cs="Times New Roman"/>
              </w:rPr>
            </w:pPr>
            <w:r>
              <w:rPr>
                <w:rFonts w:hint="eastAsia" w:cs="Times New Roman"/>
              </w:rPr>
              <w:t>0.7</w:t>
            </w:r>
          </w:p>
        </w:tc>
        <w:tc>
          <w:tcPr>
            <w:tcW w:w="1296" w:type="dxa"/>
            <w:noWrap/>
          </w:tcPr>
          <w:p w14:paraId="629BD6FB">
            <w:pPr>
              <w:ind w:firstLine="480"/>
              <w:jc w:val="center"/>
              <w:rPr>
                <w:rFonts w:hint="eastAsia" w:cs="Times New Roman"/>
              </w:rPr>
            </w:pPr>
            <w:r>
              <w:rPr>
                <w:rFonts w:hint="eastAsia" w:cs="Times New Roman"/>
              </w:rPr>
              <w:t>0.6</w:t>
            </w:r>
          </w:p>
        </w:tc>
        <w:tc>
          <w:tcPr>
            <w:tcW w:w="1416" w:type="dxa"/>
            <w:noWrap/>
          </w:tcPr>
          <w:p w14:paraId="0F9348BB">
            <w:pPr>
              <w:ind w:firstLine="480"/>
              <w:jc w:val="center"/>
              <w:rPr>
                <w:rFonts w:hint="eastAsia" w:cs="Times New Roman"/>
              </w:rPr>
            </w:pPr>
            <w:r>
              <w:rPr>
                <w:rFonts w:hint="eastAsia" w:cs="Times New Roman"/>
              </w:rPr>
              <w:t>0.6</w:t>
            </w:r>
          </w:p>
        </w:tc>
        <w:tc>
          <w:tcPr>
            <w:tcW w:w="1376" w:type="dxa"/>
            <w:noWrap/>
          </w:tcPr>
          <w:p w14:paraId="2059F6D7">
            <w:pPr>
              <w:ind w:firstLine="480"/>
              <w:jc w:val="center"/>
              <w:rPr>
                <w:rFonts w:hint="eastAsia" w:cs="Times New Roman"/>
              </w:rPr>
            </w:pPr>
            <w:r>
              <w:rPr>
                <w:rFonts w:hint="eastAsia" w:cs="Times New Roman"/>
              </w:rPr>
              <w:t>0.8</w:t>
            </w:r>
          </w:p>
        </w:tc>
        <w:tc>
          <w:tcPr>
            <w:tcW w:w="1643" w:type="dxa"/>
            <w:noWrap/>
          </w:tcPr>
          <w:p w14:paraId="365F65D5">
            <w:pPr>
              <w:ind w:firstLine="480"/>
              <w:jc w:val="center"/>
              <w:rPr>
                <w:rFonts w:hint="eastAsia" w:cs="Times New Roman"/>
              </w:rPr>
            </w:pPr>
            <w:r>
              <w:rPr>
                <w:rFonts w:hint="eastAsia" w:cs="Times New Roman"/>
              </w:rPr>
              <w:t>0.7</w:t>
            </w:r>
          </w:p>
        </w:tc>
        <w:tc>
          <w:tcPr>
            <w:tcW w:w="1209" w:type="dxa"/>
            <w:noWrap/>
          </w:tcPr>
          <w:p w14:paraId="04D25A0D">
            <w:pPr>
              <w:ind w:firstLine="480"/>
              <w:jc w:val="center"/>
              <w:rPr>
                <w:rFonts w:hint="eastAsia" w:cs="Times New Roman"/>
              </w:rPr>
            </w:pPr>
            <w:r>
              <w:rPr>
                <w:rFonts w:hint="eastAsia" w:cs="Times New Roman"/>
              </w:rPr>
              <w:t>0.5</w:t>
            </w:r>
          </w:p>
        </w:tc>
      </w:tr>
      <w:tr w14:paraId="4302357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noWrap/>
          </w:tcPr>
          <w:p w14:paraId="54B72FF4">
            <w:pPr>
              <w:ind w:firstLine="480"/>
              <w:jc w:val="center"/>
              <w:rPr>
                <w:rFonts w:hint="eastAsia" w:cs="Times New Roman"/>
              </w:rPr>
            </w:pPr>
            <w:r>
              <w:rPr>
                <w:rFonts w:hint="eastAsia" w:cs="Times New Roman"/>
              </w:rPr>
              <w:t>4</w:t>
            </w:r>
          </w:p>
        </w:tc>
        <w:tc>
          <w:tcPr>
            <w:tcW w:w="1190" w:type="dxa"/>
            <w:noWrap/>
          </w:tcPr>
          <w:p w14:paraId="12B77E75">
            <w:pPr>
              <w:ind w:firstLine="480"/>
              <w:jc w:val="center"/>
              <w:rPr>
                <w:rFonts w:hint="eastAsia" w:cs="Times New Roman"/>
              </w:rPr>
            </w:pPr>
            <w:r>
              <w:rPr>
                <w:rFonts w:hint="eastAsia" w:cs="Times New Roman"/>
              </w:rPr>
              <w:t>sy</w:t>
            </w:r>
          </w:p>
        </w:tc>
        <w:tc>
          <w:tcPr>
            <w:tcW w:w="1224" w:type="dxa"/>
            <w:noWrap/>
          </w:tcPr>
          <w:p w14:paraId="247B07AD">
            <w:pPr>
              <w:ind w:firstLine="480"/>
              <w:jc w:val="center"/>
              <w:rPr>
                <w:rFonts w:hint="eastAsia" w:cs="Times New Roman"/>
              </w:rPr>
            </w:pPr>
            <w:r>
              <w:rPr>
                <w:rFonts w:hint="eastAsia" w:cs="Times New Roman"/>
              </w:rPr>
              <w:t>0.8</w:t>
            </w:r>
          </w:p>
        </w:tc>
        <w:tc>
          <w:tcPr>
            <w:tcW w:w="1296" w:type="dxa"/>
            <w:noWrap/>
          </w:tcPr>
          <w:p w14:paraId="1EE24207">
            <w:pPr>
              <w:ind w:firstLine="480"/>
              <w:jc w:val="center"/>
              <w:rPr>
                <w:rFonts w:hint="eastAsia" w:cs="Times New Roman"/>
              </w:rPr>
            </w:pPr>
            <w:r>
              <w:rPr>
                <w:rFonts w:hint="eastAsia" w:cs="Times New Roman"/>
              </w:rPr>
              <w:t>0.7</w:t>
            </w:r>
          </w:p>
        </w:tc>
        <w:tc>
          <w:tcPr>
            <w:tcW w:w="1416" w:type="dxa"/>
            <w:noWrap/>
          </w:tcPr>
          <w:p w14:paraId="690BD9A3">
            <w:pPr>
              <w:ind w:firstLine="480"/>
              <w:jc w:val="center"/>
              <w:rPr>
                <w:rFonts w:hint="eastAsia" w:cs="Times New Roman"/>
              </w:rPr>
            </w:pPr>
            <w:r>
              <w:rPr>
                <w:rFonts w:hint="eastAsia" w:cs="Times New Roman"/>
              </w:rPr>
              <w:t>0.6</w:t>
            </w:r>
          </w:p>
        </w:tc>
        <w:tc>
          <w:tcPr>
            <w:tcW w:w="1376" w:type="dxa"/>
            <w:noWrap/>
          </w:tcPr>
          <w:p w14:paraId="06A92CEB">
            <w:pPr>
              <w:ind w:firstLine="480"/>
              <w:jc w:val="center"/>
              <w:rPr>
                <w:rFonts w:hint="eastAsia" w:cs="Times New Roman"/>
              </w:rPr>
            </w:pPr>
            <w:r>
              <w:rPr>
                <w:rFonts w:hint="eastAsia" w:cs="Times New Roman"/>
              </w:rPr>
              <w:t>0.9</w:t>
            </w:r>
          </w:p>
        </w:tc>
        <w:tc>
          <w:tcPr>
            <w:tcW w:w="1643" w:type="dxa"/>
            <w:noWrap/>
          </w:tcPr>
          <w:p w14:paraId="232CD9A9">
            <w:pPr>
              <w:ind w:firstLine="480"/>
              <w:jc w:val="center"/>
              <w:rPr>
                <w:rFonts w:hint="eastAsia" w:cs="Times New Roman"/>
              </w:rPr>
            </w:pPr>
            <w:r>
              <w:rPr>
                <w:rFonts w:hint="eastAsia" w:cs="Times New Roman"/>
              </w:rPr>
              <w:t>0.8</w:t>
            </w:r>
          </w:p>
        </w:tc>
        <w:tc>
          <w:tcPr>
            <w:tcW w:w="1209" w:type="dxa"/>
            <w:noWrap/>
          </w:tcPr>
          <w:p w14:paraId="0AA6FB45">
            <w:pPr>
              <w:ind w:firstLine="480"/>
              <w:jc w:val="center"/>
              <w:rPr>
                <w:rFonts w:hint="eastAsia" w:cs="Times New Roman"/>
              </w:rPr>
            </w:pPr>
            <w:r>
              <w:rPr>
                <w:rFonts w:hint="eastAsia" w:cs="Times New Roman"/>
              </w:rPr>
              <w:t>0.5</w:t>
            </w:r>
          </w:p>
        </w:tc>
      </w:tr>
      <w:tr w14:paraId="4D0759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344" w:type="dxa"/>
            <w:noWrap/>
          </w:tcPr>
          <w:p w14:paraId="46CB2227">
            <w:pPr>
              <w:ind w:firstLine="480"/>
              <w:jc w:val="center"/>
              <w:rPr>
                <w:rFonts w:hint="eastAsia" w:cs="Times New Roman"/>
              </w:rPr>
            </w:pPr>
            <w:r>
              <w:rPr>
                <w:rFonts w:hint="eastAsia" w:cs="Times New Roman"/>
              </w:rPr>
              <w:t>5</w:t>
            </w:r>
          </w:p>
        </w:tc>
        <w:tc>
          <w:tcPr>
            <w:tcW w:w="1190" w:type="dxa"/>
            <w:noWrap/>
          </w:tcPr>
          <w:p w14:paraId="79EA03E9">
            <w:pPr>
              <w:ind w:firstLine="480"/>
              <w:jc w:val="center"/>
              <w:rPr>
                <w:rFonts w:hint="eastAsia" w:cs="Times New Roman"/>
              </w:rPr>
            </w:pPr>
            <w:r>
              <w:rPr>
                <w:rFonts w:hint="eastAsia" w:cs="Times New Roman"/>
              </w:rPr>
              <w:t>jmyd</w:t>
            </w:r>
          </w:p>
        </w:tc>
        <w:tc>
          <w:tcPr>
            <w:tcW w:w="1224" w:type="dxa"/>
            <w:noWrap/>
          </w:tcPr>
          <w:p w14:paraId="21A5085E">
            <w:pPr>
              <w:ind w:firstLine="480"/>
              <w:jc w:val="center"/>
              <w:rPr>
                <w:rFonts w:hint="eastAsia" w:cs="Times New Roman"/>
              </w:rPr>
            </w:pPr>
            <w:r>
              <w:rPr>
                <w:rFonts w:hint="eastAsia" w:cs="Times New Roman"/>
              </w:rPr>
              <w:t>0</w:t>
            </w:r>
          </w:p>
        </w:tc>
        <w:tc>
          <w:tcPr>
            <w:tcW w:w="1296" w:type="dxa"/>
            <w:noWrap/>
          </w:tcPr>
          <w:p w14:paraId="533EC867">
            <w:pPr>
              <w:ind w:firstLine="480"/>
              <w:jc w:val="center"/>
              <w:rPr>
                <w:rFonts w:hint="eastAsia" w:cs="Times New Roman"/>
              </w:rPr>
            </w:pPr>
            <w:r>
              <w:rPr>
                <w:rFonts w:hint="eastAsia" w:cs="Times New Roman"/>
              </w:rPr>
              <w:t>0</w:t>
            </w:r>
          </w:p>
        </w:tc>
        <w:tc>
          <w:tcPr>
            <w:tcW w:w="1416" w:type="dxa"/>
            <w:noWrap/>
          </w:tcPr>
          <w:p w14:paraId="2A9AF17C">
            <w:pPr>
              <w:ind w:firstLine="480"/>
              <w:jc w:val="center"/>
              <w:rPr>
                <w:rFonts w:hint="eastAsia" w:cs="Times New Roman"/>
              </w:rPr>
            </w:pPr>
            <w:r>
              <w:rPr>
                <w:rFonts w:hint="eastAsia" w:cs="Times New Roman"/>
              </w:rPr>
              <w:t>0</w:t>
            </w:r>
          </w:p>
        </w:tc>
        <w:tc>
          <w:tcPr>
            <w:tcW w:w="1376" w:type="dxa"/>
            <w:noWrap/>
          </w:tcPr>
          <w:p w14:paraId="152EE243">
            <w:pPr>
              <w:ind w:firstLine="480"/>
              <w:jc w:val="center"/>
              <w:rPr>
                <w:rFonts w:hint="eastAsia" w:cs="Times New Roman"/>
              </w:rPr>
            </w:pPr>
            <w:r>
              <w:rPr>
                <w:rFonts w:hint="eastAsia" w:cs="Times New Roman"/>
              </w:rPr>
              <w:t>0</w:t>
            </w:r>
          </w:p>
        </w:tc>
        <w:tc>
          <w:tcPr>
            <w:tcW w:w="1643" w:type="dxa"/>
            <w:noWrap/>
          </w:tcPr>
          <w:p w14:paraId="42AAF15E">
            <w:pPr>
              <w:ind w:firstLine="480"/>
              <w:jc w:val="center"/>
              <w:rPr>
                <w:rFonts w:hint="eastAsia" w:cs="Times New Roman"/>
              </w:rPr>
            </w:pPr>
            <w:r>
              <w:rPr>
                <w:rFonts w:hint="eastAsia" w:cs="Times New Roman"/>
              </w:rPr>
              <w:t>0</w:t>
            </w:r>
          </w:p>
        </w:tc>
        <w:tc>
          <w:tcPr>
            <w:tcW w:w="1209" w:type="dxa"/>
            <w:noWrap/>
          </w:tcPr>
          <w:p w14:paraId="32FA7280">
            <w:pPr>
              <w:ind w:firstLine="480"/>
              <w:jc w:val="center"/>
              <w:rPr>
                <w:rFonts w:hint="eastAsia" w:cs="Times New Roman"/>
              </w:rPr>
            </w:pPr>
            <w:r>
              <w:rPr>
                <w:rFonts w:hint="eastAsia" w:cs="Times New Roman"/>
              </w:rPr>
              <w:t>0</w:t>
            </w:r>
          </w:p>
        </w:tc>
      </w:tr>
    </w:tbl>
    <w:tbl>
      <w:tblPr>
        <w:tblStyle w:val="52"/>
        <w:tblpPr w:leftFromText="180" w:rightFromText="180" w:vertAnchor="text" w:horzAnchor="margin" w:tblpXSpec="center" w:tblpY="609"/>
        <w:tblW w:w="11424"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455"/>
        <w:gridCol w:w="1288"/>
        <w:gridCol w:w="1396"/>
        <w:gridCol w:w="833"/>
        <w:gridCol w:w="1036"/>
        <w:gridCol w:w="3217"/>
        <w:gridCol w:w="1648"/>
      </w:tblGrid>
      <w:tr w14:paraId="5AE0F0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1091" w:type="dxa"/>
            <w:tcBorders>
              <w:top w:val="single" w:color="auto" w:sz="12" w:space="0"/>
              <w:left w:val="nil"/>
              <w:bottom w:val="single" w:color="auto" w:sz="4" w:space="0"/>
              <w:right w:val="nil"/>
              <w:insideH w:val="single" w:sz="4" w:space="0"/>
              <w:insideV w:val="nil"/>
              <w:tl2br w:val="nil"/>
              <w:tr2bl w:val="nil"/>
            </w:tcBorders>
            <w:noWrap/>
          </w:tcPr>
          <w:p w14:paraId="159F75C1">
            <w:pPr>
              <w:ind w:firstLine="300"/>
              <w:rPr>
                <w:sz w:val="15"/>
                <w:szCs w:val="15"/>
              </w:rPr>
            </w:pPr>
            <w:r>
              <w:rPr>
                <w:rFonts w:hint="eastAsia"/>
                <w:sz w:val="15"/>
                <w:szCs w:val="15"/>
              </w:rPr>
              <w:t>THREAT</w:t>
            </w:r>
          </w:p>
        </w:tc>
        <w:tc>
          <w:tcPr>
            <w:tcW w:w="1275" w:type="dxa"/>
            <w:tcBorders>
              <w:top w:val="single" w:color="auto" w:sz="12" w:space="0"/>
              <w:bottom w:val="single" w:color="auto" w:sz="4" w:space="0"/>
              <w:right w:val="nil"/>
              <w:insideH w:val="single" w:sz="4" w:space="0"/>
              <w:insideV w:val="nil"/>
              <w:tl2br w:val="nil"/>
              <w:tr2bl w:val="nil"/>
            </w:tcBorders>
            <w:noWrap/>
          </w:tcPr>
          <w:p w14:paraId="21751F18">
            <w:pPr>
              <w:ind w:firstLine="300"/>
              <w:rPr>
                <w:rFonts w:hint="eastAsia"/>
                <w:sz w:val="15"/>
                <w:szCs w:val="15"/>
              </w:rPr>
            </w:pPr>
            <w:r>
              <w:rPr>
                <w:rFonts w:hint="eastAsia"/>
                <w:sz w:val="15"/>
                <w:szCs w:val="15"/>
              </w:rPr>
              <w:t>MAX_DIST</w:t>
            </w:r>
          </w:p>
        </w:tc>
        <w:tc>
          <w:tcPr>
            <w:tcW w:w="1108" w:type="dxa"/>
            <w:tcBorders>
              <w:top w:val="single" w:color="auto" w:sz="12" w:space="0"/>
              <w:bottom w:val="single" w:color="auto" w:sz="4" w:space="0"/>
              <w:right w:val="nil"/>
              <w:insideH w:val="single" w:sz="4" w:space="0"/>
              <w:insideV w:val="nil"/>
              <w:tl2br w:val="nil"/>
              <w:tr2bl w:val="nil"/>
            </w:tcBorders>
            <w:noWrap/>
          </w:tcPr>
          <w:p w14:paraId="2536951E">
            <w:pPr>
              <w:ind w:firstLine="300"/>
              <w:rPr>
                <w:rFonts w:hint="eastAsia"/>
                <w:sz w:val="15"/>
                <w:szCs w:val="15"/>
              </w:rPr>
            </w:pPr>
            <w:r>
              <w:rPr>
                <w:rFonts w:hint="eastAsia"/>
                <w:sz w:val="15"/>
                <w:szCs w:val="15"/>
              </w:rPr>
              <w:t>WEIGHT</w:t>
            </w:r>
          </w:p>
        </w:tc>
        <w:tc>
          <w:tcPr>
            <w:tcW w:w="1216" w:type="dxa"/>
            <w:tcBorders>
              <w:top w:val="single" w:color="auto" w:sz="12" w:space="0"/>
              <w:bottom w:val="single" w:color="auto" w:sz="4" w:space="0"/>
              <w:right w:val="nil"/>
              <w:insideH w:val="single" w:sz="4" w:space="0"/>
              <w:insideV w:val="nil"/>
              <w:tl2br w:val="nil"/>
              <w:tr2bl w:val="nil"/>
            </w:tcBorders>
            <w:noWrap/>
          </w:tcPr>
          <w:p w14:paraId="3A03589F">
            <w:pPr>
              <w:ind w:firstLine="300"/>
              <w:rPr>
                <w:rFonts w:hint="eastAsia"/>
                <w:sz w:val="15"/>
                <w:szCs w:val="15"/>
              </w:rPr>
            </w:pPr>
            <w:r>
              <w:rPr>
                <w:rFonts w:hint="eastAsia"/>
                <w:sz w:val="15"/>
                <w:szCs w:val="15"/>
              </w:rPr>
              <w:t>DECAY</w:t>
            </w:r>
          </w:p>
        </w:tc>
        <w:tc>
          <w:tcPr>
            <w:tcW w:w="833" w:type="dxa"/>
            <w:tcBorders>
              <w:top w:val="single" w:color="auto" w:sz="12" w:space="0"/>
              <w:bottom w:val="single" w:color="auto" w:sz="4" w:space="0"/>
              <w:right w:val="nil"/>
              <w:insideH w:val="single" w:sz="4" w:space="0"/>
              <w:insideV w:val="nil"/>
              <w:tl2br w:val="nil"/>
              <w:tr2bl w:val="nil"/>
            </w:tcBorders>
            <w:noWrap/>
          </w:tcPr>
          <w:p w14:paraId="2D6B927F">
            <w:pPr>
              <w:ind w:firstLine="0" w:firstLineChars="0"/>
              <w:rPr>
                <w:rFonts w:hint="eastAsia"/>
                <w:sz w:val="15"/>
                <w:szCs w:val="15"/>
              </w:rPr>
            </w:pPr>
            <w:r>
              <w:rPr>
                <w:rFonts w:hint="eastAsia"/>
                <w:sz w:val="15"/>
                <w:szCs w:val="15"/>
              </w:rPr>
              <w:t>DESCRIP</w:t>
            </w:r>
          </w:p>
        </w:tc>
        <w:tc>
          <w:tcPr>
            <w:tcW w:w="1036" w:type="dxa"/>
            <w:tcBorders>
              <w:top w:val="single" w:color="auto" w:sz="12" w:space="0"/>
              <w:bottom w:val="single" w:color="auto" w:sz="4" w:space="0"/>
              <w:right w:val="nil"/>
              <w:insideH w:val="single" w:sz="4" w:space="0"/>
              <w:insideV w:val="nil"/>
              <w:tl2br w:val="nil"/>
              <w:tr2bl w:val="nil"/>
            </w:tcBorders>
            <w:noWrap/>
          </w:tcPr>
          <w:p w14:paraId="12DFD799">
            <w:pPr>
              <w:ind w:firstLine="0" w:firstLineChars="0"/>
              <w:rPr>
                <w:rFonts w:hint="eastAsia"/>
                <w:sz w:val="15"/>
                <w:szCs w:val="15"/>
              </w:rPr>
            </w:pPr>
            <w:r>
              <w:rPr>
                <w:rFonts w:hint="eastAsia"/>
                <w:sz w:val="15"/>
                <w:szCs w:val="15"/>
              </w:rPr>
              <w:t>BASE_PATH</w:t>
            </w:r>
          </w:p>
        </w:tc>
        <w:tc>
          <w:tcPr>
            <w:tcW w:w="3217" w:type="dxa"/>
            <w:tcBorders>
              <w:top w:val="single" w:color="auto" w:sz="12" w:space="0"/>
              <w:bottom w:val="single" w:color="auto" w:sz="4" w:space="0"/>
              <w:right w:val="nil"/>
              <w:insideH w:val="single" w:sz="4" w:space="0"/>
              <w:insideV w:val="nil"/>
              <w:tl2br w:val="nil"/>
              <w:tr2bl w:val="nil"/>
            </w:tcBorders>
            <w:noWrap/>
          </w:tcPr>
          <w:p w14:paraId="305ECAAC">
            <w:pPr>
              <w:ind w:firstLine="300"/>
              <w:rPr>
                <w:rFonts w:hint="eastAsia"/>
                <w:sz w:val="15"/>
                <w:szCs w:val="15"/>
              </w:rPr>
            </w:pPr>
            <w:r>
              <w:rPr>
                <w:rFonts w:hint="eastAsia"/>
                <w:sz w:val="15"/>
                <w:szCs w:val="15"/>
              </w:rPr>
              <w:t>CUR_PATH</w:t>
            </w:r>
          </w:p>
        </w:tc>
        <w:tc>
          <w:tcPr>
            <w:tcW w:w="1648" w:type="dxa"/>
            <w:tcBorders>
              <w:top w:val="single" w:color="auto" w:sz="12" w:space="0"/>
              <w:bottom w:val="single" w:color="auto" w:sz="4" w:space="0"/>
              <w:right w:val="nil"/>
              <w:insideH w:val="single" w:sz="4" w:space="0"/>
              <w:insideV w:val="nil"/>
              <w:tl2br w:val="nil"/>
              <w:tr2bl w:val="nil"/>
            </w:tcBorders>
            <w:noWrap/>
          </w:tcPr>
          <w:p w14:paraId="3F91E3E7">
            <w:pPr>
              <w:ind w:firstLine="300"/>
              <w:rPr>
                <w:rFonts w:hint="eastAsia"/>
                <w:sz w:val="15"/>
                <w:szCs w:val="15"/>
              </w:rPr>
            </w:pPr>
            <w:r>
              <w:rPr>
                <w:rFonts w:hint="eastAsia"/>
                <w:sz w:val="15"/>
                <w:szCs w:val="15"/>
              </w:rPr>
              <w:t>FUT_PATH</w:t>
            </w:r>
          </w:p>
        </w:tc>
      </w:tr>
      <w:tr w14:paraId="6BD6F30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1091" w:type="dxa"/>
            <w:noWrap/>
          </w:tcPr>
          <w:p w14:paraId="0270B770">
            <w:pPr>
              <w:ind w:firstLine="300"/>
              <w:rPr>
                <w:rFonts w:hint="eastAsia"/>
                <w:sz w:val="15"/>
                <w:szCs w:val="15"/>
              </w:rPr>
            </w:pPr>
            <w:r>
              <w:rPr>
                <w:rFonts w:hint="eastAsia"/>
                <w:sz w:val="15"/>
                <w:szCs w:val="15"/>
              </w:rPr>
              <w:t>gd</w:t>
            </w:r>
          </w:p>
        </w:tc>
        <w:tc>
          <w:tcPr>
            <w:tcW w:w="1275" w:type="dxa"/>
            <w:noWrap/>
          </w:tcPr>
          <w:p w14:paraId="3939ECE6">
            <w:pPr>
              <w:ind w:firstLine="300"/>
              <w:rPr>
                <w:rFonts w:hint="eastAsia"/>
                <w:sz w:val="15"/>
                <w:szCs w:val="15"/>
              </w:rPr>
            </w:pPr>
            <w:r>
              <w:rPr>
                <w:rFonts w:hint="eastAsia"/>
                <w:sz w:val="15"/>
                <w:szCs w:val="15"/>
              </w:rPr>
              <w:t>4</w:t>
            </w:r>
          </w:p>
        </w:tc>
        <w:tc>
          <w:tcPr>
            <w:tcW w:w="1108" w:type="dxa"/>
            <w:noWrap/>
          </w:tcPr>
          <w:p w14:paraId="7E4209A5">
            <w:pPr>
              <w:ind w:firstLine="300"/>
              <w:rPr>
                <w:rFonts w:hint="eastAsia"/>
                <w:sz w:val="15"/>
                <w:szCs w:val="15"/>
              </w:rPr>
            </w:pPr>
            <w:r>
              <w:rPr>
                <w:rFonts w:hint="eastAsia"/>
                <w:sz w:val="15"/>
                <w:szCs w:val="15"/>
              </w:rPr>
              <w:t>0.6</w:t>
            </w:r>
          </w:p>
        </w:tc>
        <w:tc>
          <w:tcPr>
            <w:tcW w:w="1216" w:type="dxa"/>
            <w:noWrap/>
          </w:tcPr>
          <w:p w14:paraId="46790AD5">
            <w:pPr>
              <w:ind w:firstLine="300"/>
              <w:rPr>
                <w:rFonts w:hint="eastAsia"/>
                <w:sz w:val="15"/>
                <w:szCs w:val="15"/>
              </w:rPr>
            </w:pPr>
            <w:r>
              <w:rPr>
                <w:rFonts w:hint="eastAsia"/>
                <w:sz w:val="15"/>
                <w:szCs w:val="15"/>
              </w:rPr>
              <w:t>linear</w:t>
            </w:r>
          </w:p>
        </w:tc>
        <w:tc>
          <w:tcPr>
            <w:tcW w:w="833" w:type="dxa"/>
            <w:noWrap/>
          </w:tcPr>
          <w:p w14:paraId="2CA16C04">
            <w:pPr>
              <w:ind w:firstLine="300"/>
              <w:rPr>
                <w:rFonts w:hint="eastAsia"/>
                <w:sz w:val="15"/>
                <w:szCs w:val="15"/>
              </w:rPr>
            </w:pPr>
          </w:p>
        </w:tc>
        <w:tc>
          <w:tcPr>
            <w:tcW w:w="1036" w:type="dxa"/>
            <w:noWrap/>
          </w:tcPr>
          <w:p w14:paraId="47B998BD">
            <w:pPr>
              <w:ind w:firstLine="300"/>
              <w:rPr>
                <w:sz w:val="15"/>
                <w:szCs w:val="15"/>
              </w:rPr>
            </w:pPr>
          </w:p>
        </w:tc>
        <w:tc>
          <w:tcPr>
            <w:tcW w:w="3217" w:type="dxa"/>
            <w:noWrap/>
          </w:tcPr>
          <w:p w14:paraId="362568D9">
            <w:pPr>
              <w:ind w:firstLine="300"/>
              <w:rPr>
                <w:sz w:val="15"/>
                <w:szCs w:val="15"/>
              </w:rPr>
            </w:pPr>
            <w:r>
              <w:rPr>
                <w:rFonts w:hint="eastAsia"/>
                <w:sz w:val="15"/>
                <w:szCs w:val="15"/>
              </w:rPr>
              <w:t>G:\研一文件\数据\wxy\tu2023-gd.tif</w:t>
            </w:r>
          </w:p>
        </w:tc>
        <w:tc>
          <w:tcPr>
            <w:tcW w:w="1648" w:type="dxa"/>
            <w:noWrap/>
          </w:tcPr>
          <w:p w14:paraId="54340CAC">
            <w:pPr>
              <w:ind w:firstLine="300"/>
              <w:rPr>
                <w:rFonts w:hint="eastAsia"/>
                <w:sz w:val="15"/>
                <w:szCs w:val="15"/>
              </w:rPr>
            </w:pPr>
          </w:p>
        </w:tc>
      </w:tr>
      <w:tr w14:paraId="4462201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1091" w:type="dxa"/>
            <w:noWrap/>
          </w:tcPr>
          <w:p w14:paraId="30365DDD">
            <w:pPr>
              <w:ind w:firstLine="300"/>
              <w:rPr>
                <w:sz w:val="15"/>
                <w:szCs w:val="15"/>
              </w:rPr>
            </w:pPr>
            <w:r>
              <w:rPr>
                <w:rFonts w:hint="eastAsia"/>
                <w:sz w:val="15"/>
                <w:szCs w:val="15"/>
              </w:rPr>
              <w:t>jmyd</w:t>
            </w:r>
          </w:p>
        </w:tc>
        <w:tc>
          <w:tcPr>
            <w:tcW w:w="1275" w:type="dxa"/>
            <w:noWrap/>
          </w:tcPr>
          <w:p w14:paraId="30BBA6C0">
            <w:pPr>
              <w:ind w:firstLine="300"/>
              <w:rPr>
                <w:rFonts w:hint="eastAsia"/>
                <w:sz w:val="15"/>
                <w:szCs w:val="15"/>
              </w:rPr>
            </w:pPr>
            <w:r>
              <w:rPr>
                <w:rFonts w:hint="eastAsia"/>
                <w:sz w:val="15"/>
                <w:szCs w:val="15"/>
              </w:rPr>
              <w:t>8</w:t>
            </w:r>
          </w:p>
        </w:tc>
        <w:tc>
          <w:tcPr>
            <w:tcW w:w="1108" w:type="dxa"/>
            <w:noWrap/>
          </w:tcPr>
          <w:p w14:paraId="29F8E7D2">
            <w:pPr>
              <w:ind w:firstLine="300"/>
              <w:rPr>
                <w:rFonts w:hint="eastAsia"/>
                <w:sz w:val="15"/>
                <w:szCs w:val="15"/>
              </w:rPr>
            </w:pPr>
            <w:r>
              <w:rPr>
                <w:rFonts w:hint="eastAsia"/>
                <w:sz w:val="15"/>
                <w:szCs w:val="15"/>
              </w:rPr>
              <w:t>1</w:t>
            </w:r>
          </w:p>
        </w:tc>
        <w:tc>
          <w:tcPr>
            <w:tcW w:w="1216" w:type="dxa"/>
            <w:noWrap/>
          </w:tcPr>
          <w:p w14:paraId="4CE2357C">
            <w:pPr>
              <w:ind w:firstLine="300"/>
              <w:rPr>
                <w:rFonts w:hint="eastAsia"/>
                <w:sz w:val="15"/>
                <w:szCs w:val="15"/>
              </w:rPr>
            </w:pPr>
            <w:r>
              <w:rPr>
                <w:rFonts w:hint="eastAsia"/>
                <w:sz w:val="15"/>
                <w:szCs w:val="15"/>
              </w:rPr>
              <w:t>exponential</w:t>
            </w:r>
          </w:p>
        </w:tc>
        <w:tc>
          <w:tcPr>
            <w:tcW w:w="833" w:type="dxa"/>
          </w:tcPr>
          <w:p w14:paraId="1D2AB9DB">
            <w:pPr>
              <w:ind w:firstLine="300"/>
              <w:rPr>
                <w:rFonts w:hint="eastAsia"/>
                <w:sz w:val="15"/>
                <w:szCs w:val="15"/>
              </w:rPr>
            </w:pPr>
          </w:p>
        </w:tc>
        <w:tc>
          <w:tcPr>
            <w:tcW w:w="1036" w:type="dxa"/>
            <w:noWrap/>
          </w:tcPr>
          <w:p w14:paraId="0B28B7F1">
            <w:pPr>
              <w:ind w:firstLine="300"/>
              <w:rPr>
                <w:rFonts w:hint="eastAsia"/>
                <w:sz w:val="15"/>
                <w:szCs w:val="15"/>
              </w:rPr>
            </w:pPr>
          </w:p>
        </w:tc>
        <w:tc>
          <w:tcPr>
            <w:tcW w:w="3217" w:type="dxa"/>
            <w:noWrap/>
          </w:tcPr>
          <w:p w14:paraId="34254090">
            <w:pPr>
              <w:ind w:firstLine="300"/>
              <w:rPr>
                <w:sz w:val="15"/>
                <w:szCs w:val="15"/>
              </w:rPr>
            </w:pPr>
            <w:r>
              <w:rPr>
                <w:rFonts w:hint="eastAsia"/>
                <w:sz w:val="15"/>
                <w:szCs w:val="15"/>
              </w:rPr>
              <w:t>G:\研一文件\数据\wxy\tu2023-jmyd.tif</w:t>
            </w:r>
          </w:p>
        </w:tc>
        <w:tc>
          <w:tcPr>
            <w:tcW w:w="1648" w:type="dxa"/>
            <w:noWrap/>
          </w:tcPr>
          <w:p w14:paraId="142AAE01">
            <w:pPr>
              <w:ind w:firstLine="300"/>
              <w:rPr>
                <w:rFonts w:hint="eastAsia"/>
                <w:sz w:val="15"/>
                <w:szCs w:val="15"/>
              </w:rPr>
            </w:pPr>
          </w:p>
        </w:tc>
      </w:tr>
    </w:tbl>
    <w:p w14:paraId="41280E08">
      <w:pPr>
        <w:pStyle w:val="54"/>
        <w:ind w:firstLine="480"/>
        <w:rPr>
          <w:rFonts w:hint="eastAsia" w:cs="Times New Roman"/>
        </w:rPr>
      </w:pPr>
      <w:r>
        <w:rPr>
          <w:rFonts w:hint="eastAsia" w:cs="Times New Roman"/>
        </w:rPr>
        <w:t>表2.2安吉县威胁表格</w:t>
      </w:r>
    </w:p>
    <w:p w14:paraId="429122BA">
      <w:pPr>
        <w:ind w:firstLine="480"/>
        <w:rPr>
          <w:rFonts w:hint="eastAsia" w:asciiTheme="minorHAnsi" w:hAnsiTheme="minorHAnsi" w:eastAsiaTheme="minorEastAsia"/>
          <w:sz w:val="21"/>
        </w:rPr>
      </w:pPr>
      <w:r>
        <w:fldChar w:fldCharType="begin"/>
      </w:r>
      <w:r>
        <w:instrText xml:space="preserve"> LINK Excel.SheetBinaryMacroEnabled.12 "E:\\2025年8月18日203423最新桌面文件\\参数文件\\threats_willamette.csv" "threats_willamette!R1C1:R3C8" \a \f 5 \h  \* MERGEFORMAT </w:instrText>
      </w:r>
      <w:r>
        <w:fldChar w:fldCharType="separate"/>
      </w:r>
    </w:p>
    <w:p w14:paraId="6A0B6219">
      <w:pPr>
        <w:ind w:firstLine="480"/>
        <w:rPr>
          <w:rFonts w:hint="eastAsia"/>
        </w:rPr>
      </w:pPr>
      <w:r>
        <w:fldChar w:fldCharType="end"/>
      </w:r>
    </w:p>
    <w:p w14:paraId="5D63EA7D">
      <w:pPr>
        <w:numPr>
          <w:ilvl w:val="2"/>
          <w:numId w:val="0"/>
        </w:numPr>
        <w:spacing w:before="240" w:after="120" w:line="240" w:lineRule="auto"/>
        <w:outlineLvl w:val="2"/>
        <w:rPr>
          <w:rFonts w:ascii="Arial" w:hAnsi="Arial" w:eastAsia="黑体" w:cs="Times New Roman"/>
          <w:sz w:val="28"/>
        </w:rPr>
      </w:pPr>
      <w:bookmarkStart w:id="7" w:name="_Toc195820456"/>
      <w:r>
        <w:rPr>
          <w:rFonts w:hint="eastAsia" w:ascii="Arial" w:hAnsi="Arial" w:eastAsia="黑体" w:cs="Times New Roman"/>
          <w:sz w:val="28"/>
        </w:rPr>
        <w:t>导入InVEST模型</w:t>
      </w:r>
      <w:bookmarkEnd w:id="7"/>
    </w:p>
    <w:p w14:paraId="5D27ADF3">
      <w:pPr>
        <w:ind w:firstLine="480"/>
        <w:rPr>
          <w:rFonts w:cs="Times New Roman"/>
        </w:rPr>
      </w:pPr>
      <w:r>
        <w:rPr>
          <w:rFonts w:hint="eastAsia" w:cs="Times New Roman"/>
        </w:rPr>
        <w:t>将上述处理后的土地利用数据、敏感性表格以及威胁表格导入InVEST模型的生境质量模块。在输入参数时，需仔细核对每一项配置，以确保模型能够正确识别各类土地利用和威胁因子。</w:t>
      </w:r>
    </w:p>
    <w:p w14:paraId="56493CBC">
      <w:pPr>
        <w:numPr>
          <w:ilvl w:val="2"/>
          <w:numId w:val="0"/>
        </w:numPr>
        <w:spacing w:before="240" w:after="120" w:line="240" w:lineRule="auto"/>
        <w:outlineLvl w:val="2"/>
        <w:rPr>
          <w:rFonts w:ascii="Arial" w:hAnsi="Arial" w:eastAsia="黑体" w:cs="Times New Roman"/>
          <w:sz w:val="28"/>
        </w:rPr>
      </w:pPr>
      <w:r>
        <w:rPr>
          <w:rFonts w:hint="eastAsia" w:ascii="Arial" w:hAnsi="Arial" w:eastAsia="黑体" w:cs="Times New Roman"/>
          <w:sz w:val="28"/>
        </w:rPr>
        <w:t xml:space="preserve"> </w:t>
      </w:r>
      <w:bookmarkStart w:id="8" w:name="_Toc195820457"/>
      <w:r>
        <w:rPr>
          <w:rFonts w:hint="eastAsia" w:ascii="Arial" w:hAnsi="Arial" w:eastAsia="黑体" w:cs="Times New Roman"/>
          <w:sz w:val="28"/>
        </w:rPr>
        <w:t>运行模型与结果生成</w:t>
      </w:r>
      <w:bookmarkEnd w:id="8"/>
    </w:p>
    <w:p w14:paraId="52ABE2FE">
      <w:pPr>
        <w:ind w:firstLine="480"/>
        <w:rPr>
          <w:rFonts w:cs="Times New Roman"/>
        </w:rPr>
      </w:pPr>
      <w:r>
        <w:rPr>
          <w:rFonts w:hint="eastAsia" w:cs="Times New Roman"/>
        </w:rPr>
        <w:t>在InVEST模型中进行生境质量评估，运行过程可能需要一定的时间，具体取决于数据的复杂性和计算资源。模型运行完成后，将生成的生境质量评估结果保存为quality.tif格式的栅格文件。此文件包含空间分布的生境质量指数，可用于进一步的空间分析。</w:t>
      </w:r>
    </w:p>
    <w:p w14:paraId="27301D4A">
      <w:pPr>
        <w:numPr>
          <w:ilvl w:val="2"/>
          <w:numId w:val="0"/>
        </w:numPr>
        <w:spacing w:before="240" w:after="120" w:line="240" w:lineRule="auto"/>
        <w:outlineLvl w:val="2"/>
        <w:rPr>
          <w:rFonts w:ascii="Arial" w:hAnsi="Arial" w:eastAsia="黑体" w:cs="Times New Roman"/>
          <w:sz w:val="28"/>
        </w:rPr>
      </w:pPr>
      <w:r>
        <w:rPr>
          <w:rFonts w:hint="eastAsia" w:ascii="Arial" w:hAnsi="Arial" w:eastAsia="黑体" w:cs="Times New Roman"/>
          <w:sz w:val="28"/>
        </w:rPr>
        <w:t xml:space="preserve"> </w:t>
      </w:r>
      <w:bookmarkStart w:id="9" w:name="_Toc195820458"/>
      <w:r>
        <w:rPr>
          <w:rFonts w:hint="eastAsia" w:ascii="Arial" w:hAnsi="Arial" w:eastAsia="黑体" w:cs="Times New Roman"/>
          <w:sz w:val="28"/>
        </w:rPr>
        <w:t>结果导入与制图</w:t>
      </w:r>
      <w:bookmarkEnd w:id="9"/>
    </w:p>
    <w:p w14:paraId="7BE072C0">
      <w:pPr>
        <w:ind w:firstLine="480"/>
        <w:rPr>
          <w:rFonts w:cs="Times New Roman"/>
        </w:rPr>
      </w:pPr>
      <w:r>
        <w:rPr>
          <w:rFonts w:hint="eastAsia" w:cs="Times New Roman"/>
        </w:rPr>
        <w:t>将生成的quality.tif文件导入ArcGIS进行可视化分析。通过ArcGIS的制图功能，对生境质量指数进行空间展示与分析。可以使用颜色渐变和图例说明来增强图像的可读性，确保能够直观地展示安吉县的生境质量分布。</w:t>
      </w:r>
    </w:p>
    <w:p w14:paraId="6C9F2BE7">
      <w:pPr>
        <w:numPr>
          <w:ilvl w:val="1"/>
          <w:numId w:val="0"/>
        </w:numPr>
        <w:spacing w:before="480" w:after="120" w:line="240" w:lineRule="auto"/>
        <w:outlineLvl w:val="1"/>
        <w:rPr>
          <w:rFonts w:ascii="Arial" w:hAnsi="Arial" w:eastAsia="黑体" w:cs="Times New Roman"/>
          <w:b/>
          <w:sz w:val="28"/>
        </w:rPr>
      </w:pPr>
      <w:r>
        <w:rPr>
          <w:rFonts w:hint="eastAsia" w:ascii="Arial" w:hAnsi="Arial" w:eastAsia="黑体" w:cs="Times New Roman"/>
          <w:b/>
          <w:sz w:val="28"/>
        </w:rPr>
        <w:t xml:space="preserve"> </w:t>
      </w:r>
      <w:bookmarkStart w:id="10" w:name="_Toc195820459"/>
      <w:r>
        <w:rPr>
          <w:rFonts w:hint="eastAsia" w:ascii="Arial" w:hAnsi="Arial" w:eastAsia="黑体" w:cs="Times New Roman"/>
          <w:b/>
          <w:sz w:val="28"/>
        </w:rPr>
        <w:t>生境质量评分模型</w:t>
      </w:r>
      <w:bookmarkEnd w:id="10"/>
    </w:p>
    <w:p w14:paraId="31643C5F">
      <w:pPr>
        <w:tabs>
          <w:tab w:val="left" w:pos="2216"/>
        </w:tabs>
        <w:ind w:firstLine="480"/>
        <w:rPr>
          <w:rFonts w:cs="Times New Roman"/>
        </w:rPr>
      </w:pPr>
      <w:r>
        <w:rPr>
          <w:rFonts w:hint="eastAsia" w:cs="Times New Roman"/>
        </w:rPr>
        <w:t>在 InVEST 模型中，生境质量指数是一个没有量纲的评价指标，取值在 0-1之间，越接近 1，生境质量越好，对人类活动造成的生境退化的抗干扰能力越强。为了便于比较和说明地区的生境质量的变化，采用定性与定量相结合的方法，引入生境质量得分指标，将生境质量指数划分为 0-0.2，0.2-0.4，0.4-0.6，0.6-0.8，0.8-1 五个区间；设立生境质量差、较差、中等、较好、好 5 个评价等级指标；对生境质量由差到好 5 个评级分别赋值为 1 分、2 分、3 分、4 分、和5 分；对进行面积加权求和，公式为：</w:t>
      </w:r>
    </w:p>
    <w:p w14:paraId="6D6CE14D">
      <w:pPr>
        <w:tabs>
          <w:tab w:val="left" w:pos="2216"/>
        </w:tabs>
        <w:ind w:firstLine="480"/>
        <w:rPr>
          <w:rFonts w:cs="Times New Roman"/>
        </w:rPr>
      </w:pPr>
      <w:r>
        <w:rPr>
          <w:rFonts w:cs="Times New Roman"/>
        </w:rPr>
        <w:drawing>
          <wp:anchor distT="0" distB="0" distL="114300" distR="114300" simplePos="0" relativeHeight="251668480" behindDoc="0" locked="0" layoutInCell="1" allowOverlap="1">
            <wp:simplePos x="0" y="0"/>
            <wp:positionH relativeFrom="margin">
              <wp:align>center</wp:align>
            </wp:positionH>
            <wp:positionV relativeFrom="paragraph">
              <wp:posOffset>90170</wp:posOffset>
            </wp:positionV>
            <wp:extent cx="1371600" cy="628650"/>
            <wp:effectExtent l="0" t="0" r="0" b="0"/>
            <wp:wrapSquare wrapText="bothSides"/>
            <wp:docPr id="1698190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0285"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71600" cy="628650"/>
                    </a:xfrm>
                    <a:prstGeom prst="rect">
                      <a:avLst/>
                    </a:prstGeom>
                  </pic:spPr>
                </pic:pic>
              </a:graphicData>
            </a:graphic>
          </wp:anchor>
        </w:drawing>
      </w:r>
    </w:p>
    <w:p w14:paraId="050C2A2E">
      <w:pPr>
        <w:tabs>
          <w:tab w:val="left" w:pos="2216"/>
        </w:tabs>
        <w:ind w:firstLine="480"/>
        <w:rPr>
          <w:rFonts w:cs="Times New Roman"/>
        </w:rPr>
      </w:pPr>
    </w:p>
    <w:p w14:paraId="3EBAED12">
      <w:pPr>
        <w:tabs>
          <w:tab w:val="left" w:pos="2216"/>
        </w:tabs>
        <w:ind w:firstLine="480"/>
        <w:rPr>
          <w:rFonts w:cs="Times New Roman"/>
        </w:rPr>
      </w:pPr>
    </w:p>
    <w:p w14:paraId="24259485">
      <w:pPr>
        <w:tabs>
          <w:tab w:val="left" w:pos="2216"/>
        </w:tabs>
        <w:ind w:firstLine="480"/>
        <w:rPr>
          <w:rFonts w:cs="Times New Roman"/>
        </w:rPr>
      </w:pPr>
      <w:r>
        <w:rPr>
          <w:rFonts w:hint="eastAsia" w:cs="Times New Roman"/>
        </w:rPr>
        <w:t>其中，</w:t>
      </w:r>
      <w:r>
        <w:rPr>
          <w:rFonts w:cs="Times New Roman"/>
        </w:rPr>
        <w:t xml:space="preserve"> G </w:t>
      </w:r>
      <w:r>
        <w:rPr>
          <w:rFonts w:hint="eastAsia" w:cs="Times New Roman"/>
        </w:rPr>
        <w:t>为地区生境质量整体得分；</w:t>
      </w:r>
      <w:r>
        <w:rPr>
          <w:rFonts w:cs="Times New Roman"/>
        </w:rPr>
        <w:t xml:space="preserve"> i </w:t>
      </w:r>
      <w:r>
        <w:rPr>
          <w:rFonts w:hint="eastAsia" w:cs="Times New Roman"/>
        </w:rPr>
        <w:t>=</w:t>
      </w:r>
      <w:r>
        <w:rPr>
          <w:rFonts w:cs="Times New Roman"/>
        </w:rPr>
        <w:t xml:space="preserve"> 1, 2,3, 4,5 </w:t>
      </w:r>
      <w:r>
        <w:rPr>
          <w:rFonts w:hint="eastAsia" w:cs="Times New Roman"/>
        </w:rPr>
        <w:t>分别对应生境质量差、较</w:t>
      </w:r>
    </w:p>
    <w:p w14:paraId="50BF8902">
      <w:pPr>
        <w:tabs>
          <w:tab w:val="left" w:pos="2216"/>
        </w:tabs>
        <w:ind w:firstLine="0" w:firstLineChars="0"/>
        <w:rPr>
          <w:rFonts w:cs="Times New Roman"/>
        </w:rPr>
        <w:sectPr>
          <w:headerReference r:id="rId5" w:type="default"/>
          <w:footerReference r:id="rId6" w:type="default"/>
          <w:pgSz w:w="11906" w:h="16838"/>
          <w:pgMar w:top="1985" w:right="1418" w:bottom="1418" w:left="1418" w:header="1417" w:footer="1134" w:gutter="0"/>
          <w:pgNumType w:start="1"/>
          <w:cols w:space="425" w:num="1"/>
          <w:docGrid w:type="lines" w:linePitch="326" w:charSpace="0"/>
        </w:sectPr>
      </w:pPr>
      <w:r>
        <w:rPr>
          <w:rFonts w:hint="eastAsia" w:cs="Times New Roman"/>
        </w:rPr>
        <w:t>差、中等、较好和好 5 个评价指标； Si为生境质量为 i 的区域面积。</w:t>
      </w:r>
    </w:p>
    <w:p w14:paraId="0524362E">
      <w:pPr>
        <w:ind w:firstLine="480"/>
        <w:rPr>
          <w:rFonts w:ascii="黑体" w:hAnsi="黑体" w:eastAsia="黑体"/>
          <w:b/>
          <w:bCs/>
        </w:rPr>
      </w:pPr>
      <w:r>
        <w:drawing>
          <wp:anchor distT="0" distB="0" distL="114300" distR="114300" simplePos="0" relativeHeight="251670528" behindDoc="0" locked="0" layoutInCell="1" allowOverlap="1">
            <wp:simplePos x="0" y="0"/>
            <wp:positionH relativeFrom="column">
              <wp:posOffset>90170</wp:posOffset>
            </wp:positionH>
            <wp:positionV relativeFrom="paragraph">
              <wp:posOffset>476250</wp:posOffset>
            </wp:positionV>
            <wp:extent cx="5761355" cy="7566025"/>
            <wp:effectExtent l="0" t="0" r="0" b="0"/>
            <wp:wrapTopAndBottom/>
            <wp:docPr id="13619796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79677" name="图片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1355" cy="7566025"/>
                    </a:xfrm>
                    <a:prstGeom prst="rect">
                      <a:avLst/>
                    </a:prstGeom>
                    <a:noFill/>
                  </pic:spPr>
                </pic:pic>
              </a:graphicData>
            </a:graphic>
          </wp:anchor>
        </w:drawing>
      </w:r>
      <w:r>
        <w:rPr>
          <w:rFonts w:hint="eastAsia" w:ascii="黑体" w:hAnsi="黑体" w:eastAsia="黑体"/>
          <w:b/>
          <w:bCs/>
        </w:rPr>
        <w:t>成果图</w:t>
      </w:r>
    </w:p>
    <w:p w14:paraId="1A8F00D3">
      <w:pPr>
        <w:ind w:firstLine="480"/>
      </w:pPr>
    </w:p>
    <w:p w14:paraId="185FA7C7">
      <w:pPr>
        <w:pStyle w:val="43"/>
        <w:rPr>
          <w:rFonts w:hint="eastAsia"/>
        </w:rPr>
      </w:pPr>
      <w:r>
        <w:rPr>
          <w:rFonts w:hint="eastAsia"/>
        </w:rPr>
        <w:t xml:space="preserve"> 碳密度计算</w:t>
      </w:r>
    </w:p>
    <w:p w14:paraId="7275EFEE">
      <w:pPr>
        <w:pStyle w:val="44"/>
      </w:pPr>
      <w:r>
        <w:rPr>
          <w:rFonts w:hint="eastAsia"/>
        </w:rPr>
        <w:t xml:space="preserve">生态系统碳储量 </w:t>
      </w:r>
    </w:p>
    <w:p w14:paraId="31828562">
      <w:pPr>
        <w:ind w:firstLine="960" w:firstLineChars="400"/>
      </w:pPr>
      <w:r>
        <w:rPr>
          <w:rFonts w:hint="eastAsia"/>
        </w:rPr>
        <w:t>生态系统碳储存量是由地上生物碳库、地下生物碳库、土壤碳库、死亡有</w:t>
      </w:r>
    </w:p>
    <w:p w14:paraId="7743C742">
      <w:pPr>
        <w:ind w:firstLine="480"/>
      </w:pPr>
      <w:r>
        <w:rPr>
          <w:rFonts w:hint="eastAsia"/>
        </w:rPr>
        <w:t>机质碳库以及第五大碳库组成。第五大碳库主要包含已被砍伐的木材原料、木</w:t>
      </w:r>
    </w:p>
    <w:p w14:paraId="7E4013D4">
      <w:pPr>
        <w:ind w:firstLine="480"/>
      </w:pPr>
      <w:r>
        <w:rPr>
          <w:rFonts w:hint="eastAsia"/>
        </w:rPr>
        <w:t>材家具、建筑木材产品等，数据统计难度过大，故不作考虑。</w:t>
      </w:r>
    </w:p>
    <w:p w14:paraId="7B4598BC">
      <w:pPr>
        <w:ind w:firstLine="960" w:firstLineChars="400"/>
      </w:pPr>
      <w:r>
        <w:rPr>
          <w:rFonts w:hint="eastAsia"/>
        </w:rPr>
        <w:t>根据土地利用情况，分别统计各种地类地上碳库、地下碳库、土壤碳</w:t>
      </w:r>
    </w:p>
    <w:p w14:paraId="380153B7">
      <w:pPr>
        <w:ind w:firstLine="480"/>
      </w:pPr>
      <w:r>
        <w:rPr>
          <w:rFonts w:hint="eastAsia"/>
        </w:rPr>
        <w:t>库和死亡有机质碳库的平均碳密度，然后用碳密度乘以各地类的面积得出四大</w:t>
      </w:r>
    </w:p>
    <w:p w14:paraId="25F57138">
      <w:pPr>
        <w:ind w:firstLine="480"/>
      </w:pPr>
      <w:r>
        <w:rPr>
          <w:rFonts w:hint="eastAsia"/>
        </w:rPr>
        <w:t>碳库的碳储存量，累计四大碳库的碳储存量便可得到整个研究区的碳储存总值。</w:t>
      </w:r>
    </w:p>
    <w:p w14:paraId="54052DBC">
      <w:pPr>
        <w:ind w:firstLine="480"/>
      </w:pPr>
      <w:r>
        <w:rPr>
          <w:rFonts w:hint="eastAsia"/>
        </w:rPr>
        <w:t>总碳储存量由下列公式计算：</w:t>
      </w:r>
    </w:p>
    <w:p w14:paraId="65B86E92">
      <w:pPr>
        <w:pStyle w:val="48"/>
        <w:spacing w:before="652"/>
        <w:ind w:firstLine="480"/>
      </w:pPr>
      <w:r>
        <w:t xml:space="preserve">C _ total </w:t>
      </w:r>
      <w:r>
        <w:rPr>
          <w:rFonts w:hint="eastAsia"/>
        </w:rPr>
        <w:t xml:space="preserve"> = </w:t>
      </w:r>
      <w:r>
        <w:t xml:space="preserve"> C _ above </w:t>
      </w:r>
      <w:r>
        <w:rPr>
          <w:rFonts w:hint="eastAsia"/>
        </w:rPr>
        <w:t xml:space="preserve">+ </w:t>
      </w:r>
      <w:r>
        <w:t>C _ below</w:t>
      </w:r>
      <w:r>
        <w:rPr>
          <w:rFonts w:hint="eastAsia"/>
        </w:rPr>
        <w:t xml:space="preserve"> + </w:t>
      </w:r>
      <w:r>
        <w:t xml:space="preserve">C _ soil </w:t>
      </w:r>
      <w:r>
        <w:rPr>
          <w:rFonts w:hint="eastAsia"/>
        </w:rPr>
        <w:t xml:space="preserve">+  </w:t>
      </w:r>
      <w:r>
        <w:t>C _ dead</w:t>
      </w:r>
    </w:p>
    <w:p w14:paraId="6F76B8BE">
      <w:pPr>
        <w:ind w:firstLine="960" w:firstLineChars="400"/>
      </w:pPr>
      <w:r>
        <w:rPr>
          <w:rFonts w:hint="eastAsia"/>
        </w:rPr>
        <w:t>式中， C _ total 代表总碳储量， C _ above 是地上碳储量， C _ below是地下</w:t>
      </w:r>
    </w:p>
    <w:p w14:paraId="389A4BD5">
      <w:pPr>
        <w:ind w:firstLine="480"/>
      </w:pPr>
      <w:r>
        <w:rPr>
          <w:rFonts w:hint="eastAsia"/>
        </w:rPr>
        <w:t>碳储量， C _ soil 是土壤碳储量， C _ dead 是死亡有机质碳储量。</w:t>
      </w:r>
    </w:p>
    <w:p w14:paraId="125BF922">
      <w:pPr>
        <w:pStyle w:val="44"/>
      </w:pPr>
      <w:r>
        <w:rPr>
          <w:rFonts w:hint="eastAsia"/>
        </w:rPr>
        <w:t xml:space="preserve"> 模型介绍</w:t>
      </w:r>
    </w:p>
    <w:p w14:paraId="6D713D27">
      <w:pPr>
        <w:ind w:firstLine="480"/>
      </w:pPr>
      <w:r>
        <w:rPr>
          <w:rFonts w:hint="eastAsia"/>
        </w:rPr>
        <w:t>InVEST模型（Integrated Valuation of Ecosystem Services and Tradeoffs）是用于评估生态系统服务功能量及其经济价值、支持生态系统管理和决策的模型系统，碳储量模块是其中用于评估生态系统碳储存功能的模块，可计算地上生物碳、地下生物碳、土壤碳和死亡有机碳等碳库的碳储量。</w:t>
      </w:r>
    </w:p>
    <w:p w14:paraId="2C43FD07">
      <w:pPr>
        <w:pStyle w:val="44"/>
      </w:pPr>
      <w:r>
        <w:rPr>
          <w:rFonts w:hint="eastAsia"/>
        </w:rPr>
        <w:t xml:space="preserve"> InVEST碳储量模块核心内容</w:t>
      </w:r>
    </w:p>
    <w:p w14:paraId="474EB2C2">
      <w:pPr>
        <w:ind w:firstLine="480"/>
      </w:pPr>
      <w:r>
        <w:rPr>
          <w:rFonts w:hint="eastAsia"/>
        </w:rPr>
        <w:t>碳库划分：该模型将生态系统的碳储量划分为4个基本碳库。地上生物碳是指土壤以上所有存活的植物中的碳；地下生物碳存在于植物活根系统中；土碳分布在有机土壤和矿质土中的有机碳；死亡有机碳包括凋落物、倒立或站立的已死亡树木中的碳。</w:t>
      </w:r>
    </w:p>
    <w:p w14:paraId="312CA5AD">
      <w:pPr>
        <w:pStyle w:val="44"/>
      </w:pPr>
      <w:r>
        <w:rPr>
          <w:rFonts w:hint="eastAsia"/>
        </w:rPr>
        <w:t xml:space="preserve"> 方法步骤</w:t>
      </w:r>
    </w:p>
    <w:p w14:paraId="18DCB897">
      <w:pPr>
        <w:pStyle w:val="44"/>
        <w:numPr>
          <w:ilvl w:val="0"/>
          <w:numId w:val="0"/>
        </w:numPr>
        <w:ind w:left="480"/>
      </w:pPr>
      <w:r>
        <w:rPr>
          <w:rFonts w:hint="eastAsia"/>
        </w:rPr>
        <w:t xml:space="preserve"> 数据导入</w:t>
      </w:r>
    </w:p>
    <w:p w14:paraId="66A22B0E">
      <w:pPr>
        <w:tabs>
          <w:tab w:val="left" w:pos="2216"/>
        </w:tabs>
        <w:ind w:firstLine="480"/>
      </w:pPr>
      <w:r>
        <w:rPr>
          <w:rFonts w:hint="eastAsia"/>
        </w:rPr>
        <w:t>在该步骤中，首先获取2023年浙江省湖州市安吉县的最新土地覆盖数据。这些数据通常以栅格格式提供，确保其兼容性以便在地理信息系统（GIS）中进行处理。使用ArcGIS软件，将土地覆盖数据导入工作空间，并确保数据的投影系统与研究区域一致，以避免空间分析中的偏差。</w:t>
      </w:r>
    </w:p>
    <w:p w14:paraId="765AACBF">
      <w:pPr>
        <w:pStyle w:val="44"/>
        <w:numPr>
          <w:ilvl w:val="0"/>
          <w:numId w:val="0"/>
        </w:numPr>
        <w:ind w:firstLine="560"/>
      </w:pPr>
      <w:r>
        <w:rPr>
          <w:rFonts w:hint="eastAsia"/>
        </w:rPr>
        <w:t>初步重分类</w:t>
      </w:r>
    </w:p>
    <w:p w14:paraId="0FA21479">
      <w:pPr>
        <w:tabs>
          <w:tab w:val="left" w:pos="2216"/>
        </w:tabs>
        <w:ind w:firstLine="480"/>
      </w:pPr>
      <w:r>
        <w:rPr>
          <w:rFonts w:hint="eastAsia"/>
        </w:rPr>
        <w:t>根据中国科学院地理研究所的土地利用分类标准，对导入的数据进行重分类。在ArcGIS中使用重分类工具，将不同的土地覆盖类型映射为标准化的土地利用类型，例如农业用地、森林、草地、城市用地等。这一过程需要对每种土地覆盖类型的特征进行深入理解，以确保重分类的准确性。</w:t>
      </w:r>
    </w:p>
    <w:p w14:paraId="57F82DD0">
      <w:pPr>
        <w:tabs>
          <w:tab w:val="left" w:pos="2216"/>
        </w:tabs>
        <w:ind w:firstLine="480"/>
      </w:pPr>
      <w:r>
        <w:rPr>
          <w:rFonts w:hint="eastAsia"/>
        </w:rPr>
        <w:t>中国科学院资源环境与数据土地利用分类平台：</w:t>
      </w:r>
    </w:p>
    <w:p w14:paraId="670265D1">
      <w:pPr>
        <w:tabs>
          <w:tab w:val="left" w:pos="2216"/>
        </w:tabs>
        <w:ind w:firstLine="480"/>
      </w:pPr>
      <w:r>
        <w:rPr>
          <w:rFonts w:hint="eastAsia"/>
        </w:rPr>
        <w:t>见链接：</w:t>
      </w:r>
      <w:r>
        <w:t>https://www.resdc.cn/data.aspx?DATAID=360</w:t>
      </w:r>
      <w:r>
        <w:rPr>
          <w:rFonts w:hint="eastAsia"/>
        </w:rPr>
        <w:t>。</w:t>
      </w:r>
      <w:r>
        <w:tab/>
      </w:r>
    </w:p>
    <w:p w14:paraId="6208FA49">
      <w:pPr>
        <w:pStyle w:val="44"/>
        <w:numPr>
          <w:ilvl w:val="0"/>
          <w:numId w:val="0"/>
        </w:numPr>
        <w:ind w:left="480"/>
      </w:pPr>
      <w:r>
        <w:rPr>
          <w:rFonts w:hint="eastAsia"/>
        </w:rPr>
        <w:t>创建碳密度表格</w:t>
      </w:r>
    </w:p>
    <w:p w14:paraId="0D76A9ED">
      <w:pPr>
        <w:ind w:firstLine="480"/>
      </w:pPr>
      <w:r>
        <w:rPr>
          <w:rFonts w:hint="eastAsia"/>
        </w:rPr>
        <w:t>根据相关文献和研究资料，创建安吉县的碳密度表格数据，这些表格需要包含碳密度的关键因素，如不同土地利用类型的敏感性评分以及各类威胁的影响因子。这些数据将用于定义模型参数，以提高评估过程的准确性。本文使用的敏感性和威胁表格见群内打包文件。根据以上内容将以上根据相关文献和研究资料，创建安吉县的碳密度据。这些表格需要包含</w:t>
      </w:r>
      <w:r>
        <w:t>碳储量评估的关</w:t>
      </w:r>
      <w:r>
        <w:rPr>
          <w:rFonts w:hint="eastAsia"/>
        </w:rPr>
        <w:t>键因素，如不同土地利用类型的敏感性评分以及各类威胁的影响因子。这些数据将用于定义模型参数，以提高评估过程的准确性。本文使用的碳密度</w:t>
      </w:r>
      <w:r>
        <w:t>表格数据</w:t>
      </w:r>
      <w:r>
        <w:rPr>
          <w:rFonts w:hint="eastAsia"/>
        </w:rPr>
        <w:t>如2-1</w:t>
      </w:r>
      <w:r>
        <w:t>所示。</w:t>
      </w:r>
    </w:p>
    <w:p w14:paraId="1C618FB0">
      <w:pPr>
        <w:pStyle w:val="54"/>
        <w:spacing w:before="978"/>
      </w:pPr>
      <w:r>
        <w:rPr>
          <w:rFonts w:hint="eastAsia"/>
        </w:rPr>
        <w:t>表2-1：碳密度表格</w:t>
      </w:r>
    </w:p>
    <w:tbl>
      <w:tblPr>
        <w:tblStyle w:val="52"/>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
        <w:gridCol w:w="2016"/>
        <w:gridCol w:w="1550"/>
        <w:gridCol w:w="1563"/>
        <w:gridCol w:w="1323"/>
        <w:gridCol w:w="1430"/>
      </w:tblGrid>
      <w:tr w14:paraId="333B33C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tcBorders>
              <w:top w:val="single" w:color="auto" w:sz="12" w:space="0"/>
              <w:left w:val="nil"/>
              <w:bottom w:val="single" w:color="auto" w:sz="4" w:space="0"/>
              <w:right w:val="nil"/>
              <w:insideH w:val="single" w:sz="4" w:space="0"/>
              <w:insideV w:val="nil"/>
              <w:tl2br w:val="nil"/>
              <w:tr2bl w:val="nil"/>
            </w:tcBorders>
            <w:noWrap/>
          </w:tcPr>
          <w:p w14:paraId="65D21B51">
            <w:pPr>
              <w:ind w:firstLine="0" w:firstLineChars="0"/>
              <w:jc w:val="center"/>
            </w:pPr>
            <w:r>
              <w:rPr>
                <w:rFonts w:hint="eastAsia"/>
              </w:rPr>
              <w:t>lucode</w:t>
            </w:r>
          </w:p>
        </w:tc>
        <w:tc>
          <w:tcPr>
            <w:tcW w:w="1178" w:type="dxa"/>
            <w:tcBorders>
              <w:top w:val="single" w:color="auto" w:sz="12" w:space="0"/>
              <w:bottom w:val="single" w:color="auto" w:sz="4" w:space="0"/>
              <w:right w:val="nil"/>
              <w:insideH w:val="single" w:sz="4" w:space="0"/>
              <w:insideV w:val="nil"/>
              <w:tl2br w:val="nil"/>
              <w:tr2bl w:val="nil"/>
            </w:tcBorders>
            <w:noWrap/>
          </w:tcPr>
          <w:p w14:paraId="486EDE19">
            <w:pPr>
              <w:ind w:firstLine="480"/>
              <w:jc w:val="center"/>
            </w:pPr>
            <w:r>
              <w:rPr>
                <w:rFonts w:hint="eastAsia"/>
              </w:rPr>
              <w:t>LULC_Name</w:t>
            </w:r>
          </w:p>
        </w:tc>
        <w:tc>
          <w:tcPr>
            <w:tcW w:w="1080" w:type="dxa"/>
            <w:tcBorders>
              <w:top w:val="single" w:color="auto" w:sz="12" w:space="0"/>
              <w:bottom w:val="single" w:color="auto" w:sz="4" w:space="0"/>
              <w:right w:val="nil"/>
              <w:insideH w:val="single" w:sz="4" w:space="0"/>
              <w:insideV w:val="nil"/>
              <w:tl2br w:val="nil"/>
              <w:tr2bl w:val="nil"/>
            </w:tcBorders>
            <w:noWrap/>
          </w:tcPr>
          <w:p w14:paraId="604B3F98">
            <w:pPr>
              <w:ind w:firstLine="480"/>
              <w:jc w:val="center"/>
            </w:pPr>
            <w:r>
              <w:rPr>
                <w:rFonts w:hint="eastAsia"/>
              </w:rPr>
              <w:t>C_above</w:t>
            </w:r>
          </w:p>
        </w:tc>
        <w:tc>
          <w:tcPr>
            <w:tcW w:w="1080" w:type="dxa"/>
            <w:tcBorders>
              <w:top w:val="single" w:color="auto" w:sz="12" w:space="0"/>
              <w:bottom w:val="single" w:color="auto" w:sz="4" w:space="0"/>
              <w:right w:val="nil"/>
              <w:insideH w:val="single" w:sz="4" w:space="0"/>
              <w:insideV w:val="nil"/>
              <w:tl2br w:val="nil"/>
              <w:tr2bl w:val="nil"/>
            </w:tcBorders>
            <w:noWrap/>
          </w:tcPr>
          <w:p w14:paraId="41D3943E">
            <w:pPr>
              <w:ind w:firstLine="480"/>
              <w:jc w:val="center"/>
            </w:pPr>
            <w:r>
              <w:rPr>
                <w:rFonts w:hint="eastAsia"/>
              </w:rPr>
              <w:t>C_below</w:t>
            </w:r>
          </w:p>
        </w:tc>
        <w:tc>
          <w:tcPr>
            <w:tcW w:w="1080" w:type="dxa"/>
            <w:tcBorders>
              <w:top w:val="single" w:color="auto" w:sz="12" w:space="0"/>
              <w:bottom w:val="single" w:color="auto" w:sz="4" w:space="0"/>
              <w:right w:val="nil"/>
              <w:insideH w:val="single" w:sz="4" w:space="0"/>
              <w:insideV w:val="nil"/>
              <w:tl2br w:val="nil"/>
              <w:tr2bl w:val="nil"/>
            </w:tcBorders>
            <w:noWrap/>
          </w:tcPr>
          <w:p w14:paraId="6CEAE92F">
            <w:pPr>
              <w:ind w:firstLine="480"/>
              <w:jc w:val="center"/>
            </w:pPr>
            <w:r>
              <w:rPr>
                <w:rFonts w:hint="eastAsia"/>
              </w:rPr>
              <w:t>C_soil</w:t>
            </w:r>
          </w:p>
        </w:tc>
        <w:tc>
          <w:tcPr>
            <w:tcW w:w="1080" w:type="dxa"/>
            <w:tcBorders>
              <w:top w:val="single" w:color="auto" w:sz="12" w:space="0"/>
              <w:bottom w:val="single" w:color="auto" w:sz="4" w:space="0"/>
              <w:right w:val="nil"/>
              <w:insideH w:val="single" w:sz="4" w:space="0"/>
              <w:insideV w:val="nil"/>
              <w:tl2br w:val="nil"/>
              <w:tr2bl w:val="nil"/>
            </w:tcBorders>
            <w:noWrap/>
          </w:tcPr>
          <w:p w14:paraId="0B00A80A">
            <w:pPr>
              <w:ind w:firstLine="480"/>
              <w:jc w:val="center"/>
            </w:pPr>
            <w:r>
              <w:rPr>
                <w:rFonts w:hint="eastAsia"/>
              </w:rPr>
              <w:t>C_dead</w:t>
            </w:r>
          </w:p>
        </w:tc>
      </w:tr>
      <w:tr w14:paraId="1BA5674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noWrap/>
          </w:tcPr>
          <w:p w14:paraId="013DBF86">
            <w:pPr>
              <w:ind w:firstLine="480"/>
              <w:jc w:val="center"/>
            </w:pPr>
            <w:r>
              <w:rPr>
                <w:rFonts w:hint="eastAsia"/>
              </w:rPr>
              <w:t>1</w:t>
            </w:r>
          </w:p>
        </w:tc>
        <w:tc>
          <w:tcPr>
            <w:tcW w:w="1178" w:type="dxa"/>
            <w:noWrap/>
          </w:tcPr>
          <w:p w14:paraId="38E91893">
            <w:pPr>
              <w:ind w:firstLine="480"/>
              <w:jc w:val="center"/>
            </w:pPr>
            <w:r>
              <w:rPr>
                <w:rFonts w:hint="eastAsia"/>
              </w:rPr>
              <w:t>gd</w:t>
            </w:r>
          </w:p>
        </w:tc>
        <w:tc>
          <w:tcPr>
            <w:tcW w:w="1080" w:type="dxa"/>
            <w:noWrap/>
          </w:tcPr>
          <w:p w14:paraId="61608F46">
            <w:pPr>
              <w:ind w:firstLine="480"/>
              <w:jc w:val="center"/>
            </w:pPr>
            <w:r>
              <w:rPr>
                <w:rFonts w:hint="eastAsia"/>
              </w:rPr>
              <w:t>10</w:t>
            </w:r>
          </w:p>
        </w:tc>
        <w:tc>
          <w:tcPr>
            <w:tcW w:w="1080" w:type="dxa"/>
            <w:noWrap/>
          </w:tcPr>
          <w:p w14:paraId="50656DDC">
            <w:pPr>
              <w:ind w:firstLine="480"/>
              <w:jc w:val="center"/>
            </w:pPr>
            <w:r>
              <w:rPr>
                <w:rFonts w:hint="eastAsia"/>
              </w:rPr>
              <w:t>8</w:t>
            </w:r>
          </w:p>
        </w:tc>
        <w:tc>
          <w:tcPr>
            <w:tcW w:w="1080" w:type="dxa"/>
            <w:noWrap/>
          </w:tcPr>
          <w:p w14:paraId="5E346D4F">
            <w:pPr>
              <w:ind w:firstLine="480"/>
              <w:jc w:val="center"/>
            </w:pPr>
            <w:r>
              <w:rPr>
                <w:rFonts w:hint="eastAsia"/>
              </w:rPr>
              <w:t>34.6</w:t>
            </w:r>
          </w:p>
        </w:tc>
        <w:tc>
          <w:tcPr>
            <w:tcW w:w="1080" w:type="dxa"/>
            <w:noWrap/>
          </w:tcPr>
          <w:p w14:paraId="1C52481E">
            <w:pPr>
              <w:ind w:firstLine="480"/>
              <w:jc w:val="center"/>
            </w:pPr>
            <w:r>
              <w:rPr>
                <w:rFonts w:hint="eastAsia"/>
              </w:rPr>
              <w:t>1</w:t>
            </w:r>
          </w:p>
        </w:tc>
      </w:tr>
      <w:tr w14:paraId="625D627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noWrap/>
          </w:tcPr>
          <w:p w14:paraId="3377504E">
            <w:pPr>
              <w:ind w:firstLine="480"/>
              <w:jc w:val="center"/>
            </w:pPr>
            <w:r>
              <w:rPr>
                <w:rFonts w:hint="eastAsia"/>
              </w:rPr>
              <w:t>2</w:t>
            </w:r>
          </w:p>
        </w:tc>
        <w:tc>
          <w:tcPr>
            <w:tcW w:w="1178" w:type="dxa"/>
            <w:noWrap/>
          </w:tcPr>
          <w:p w14:paraId="03508772">
            <w:pPr>
              <w:ind w:firstLine="480"/>
              <w:jc w:val="center"/>
            </w:pPr>
            <w:r>
              <w:rPr>
                <w:rFonts w:hint="eastAsia"/>
              </w:rPr>
              <w:t>ld</w:t>
            </w:r>
          </w:p>
        </w:tc>
        <w:tc>
          <w:tcPr>
            <w:tcW w:w="1080" w:type="dxa"/>
            <w:noWrap/>
          </w:tcPr>
          <w:p w14:paraId="4368E25A">
            <w:pPr>
              <w:ind w:firstLine="480"/>
              <w:jc w:val="center"/>
            </w:pPr>
            <w:r>
              <w:rPr>
                <w:rFonts w:hint="eastAsia"/>
              </w:rPr>
              <w:t>23.79</w:t>
            </w:r>
          </w:p>
        </w:tc>
        <w:tc>
          <w:tcPr>
            <w:tcW w:w="1080" w:type="dxa"/>
            <w:noWrap/>
          </w:tcPr>
          <w:p w14:paraId="29C06A8B">
            <w:pPr>
              <w:ind w:firstLine="480"/>
              <w:jc w:val="center"/>
            </w:pPr>
            <w:r>
              <w:rPr>
                <w:rFonts w:hint="eastAsia"/>
              </w:rPr>
              <w:t>10</w:t>
            </w:r>
          </w:p>
        </w:tc>
        <w:tc>
          <w:tcPr>
            <w:tcW w:w="1080" w:type="dxa"/>
            <w:noWrap/>
          </w:tcPr>
          <w:p w14:paraId="55C42ACA">
            <w:pPr>
              <w:ind w:firstLine="480"/>
              <w:jc w:val="center"/>
            </w:pPr>
            <w:r>
              <w:rPr>
                <w:rFonts w:hint="eastAsia"/>
              </w:rPr>
              <w:t>90.51</w:t>
            </w:r>
          </w:p>
        </w:tc>
        <w:tc>
          <w:tcPr>
            <w:tcW w:w="1080" w:type="dxa"/>
            <w:noWrap/>
          </w:tcPr>
          <w:p w14:paraId="61AA6E7B">
            <w:pPr>
              <w:ind w:firstLine="480"/>
              <w:jc w:val="center"/>
            </w:pPr>
            <w:r>
              <w:rPr>
                <w:rFonts w:hint="eastAsia"/>
              </w:rPr>
              <w:t>8</w:t>
            </w:r>
          </w:p>
        </w:tc>
      </w:tr>
      <w:tr w14:paraId="2845E37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noWrap/>
          </w:tcPr>
          <w:p w14:paraId="33982E47">
            <w:pPr>
              <w:ind w:firstLine="480"/>
              <w:jc w:val="center"/>
            </w:pPr>
            <w:r>
              <w:rPr>
                <w:rFonts w:hint="eastAsia"/>
              </w:rPr>
              <w:t>3</w:t>
            </w:r>
          </w:p>
        </w:tc>
        <w:tc>
          <w:tcPr>
            <w:tcW w:w="1178" w:type="dxa"/>
            <w:noWrap/>
          </w:tcPr>
          <w:p w14:paraId="70341D9A">
            <w:pPr>
              <w:ind w:firstLine="480"/>
              <w:jc w:val="center"/>
            </w:pPr>
            <w:r>
              <w:rPr>
                <w:rFonts w:hint="eastAsia"/>
              </w:rPr>
              <w:t>cd</w:t>
            </w:r>
          </w:p>
        </w:tc>
        <w:tc>
          <w:tcPr>
            <w:tcW w:w="1080" w:type="dxa"/>
            <w:noWrap/>
          </w:tcPr>
          <w:p w14:paraId="1A60858C">
            <w:pPr>
              <w:ind w:firstLine="480"/>
              <w:jc w:val="center"/>
            </w:pPr>
            <w:r>
              <w:rPr>
                <w:rFonts w:hint="eastAsia"/>
              </w:rPr>
              <w:t>12</w:t>
            </w:r>
          </w:p>
        </w:tc>
        <w:tc>
          <w:tcPr>
            <w:tcW w:w="1080" w:type="dxa"/>
            <w:noWrap/>
          </w:tcPr>
          <w:p w14:paraId="03F01538">
            <w:pPr>
              <w:ind w:firstLine="480"/>
              <w:jc w:val="center"/>
            </w:pPr>
            <w:r>
              <w:rPr>
                <w:rFonts w:hint="eastAsia"/>
              </w:rPr>
              <w:t>15</w:t>
            </w:r>
          </w:p>
        </w:tc>
        <w:tc>
          <w:tcPr>
            <w:tcW w:w="1080" w:type="dxa"/>
            <w:noWrap/>
          </w:tcPr>
          <w:p w14:paraId="2C6AB227">
            <w:pPr>
              <w:ind w:firstLine="480"/>
              <w:jc w:val="center"/>
            </w:pPr>
            <w:r>
              <w:rPr>
                <w:rFonts w:hint="eastAsia"/>
              </w:rPr>
              <w:t>80</w:t>
            </w:r>
          </w:p>
        </w:tc>
        <w:tc>
          <w:tcPr>
            <w:tcW w:w="1080" w:type="dxa"/>
            <w:noWrap/>
          </w:tcPr>
          <w:p w14:paraId="14414D79">
            <w:pPr>
              <w:ind w:firstLine="480"/>
              <w:jc w:val="center"/>
            </w:pPr>
            <w:r>
              <w:rPr>
                <w:rFonts w:hint="eastAsia"/>
              </w:rPr>
              <w:t>6</w:t>
            </w:r>
          </w:p>
        </w:tc>
      </w:tr>
      <w:tr w14:paraId="15132CE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noWrap/>
          </w:tcPr>
          <w:p w14:paraId="1C3505A8">
            <w:pPr>
              <w:ind w:firstLine="480"/>
              <w:jc w:val="center"/>
            </w:pPr>
            <w:r>
              <w:rPr>
                <w:rFonts w:hint="eastAsia"/>
              </w:rPr>
              <w:t>4</w:t>
            </w:r>
          </w:p>
        </w:tc>
        <w:tc>
          <w:tcPr>
            <w:tcW w:w="1178" w:type="dxa"/>
            <w:noWrap/>
          </w:tcPr>
          <w:p w14:paraId="3926D04E">
            <w:pPr>
              <w:ind w:firstLine="480"/>
              <w:jc w:val="center"/>
            </w:pPr>
            <w:r>
              <w:rPr>
                <w:rFonts w:hint="eastAsia"/>
              </w:rPr>
              <w:t>water</w:t>
            </w:r>
          </w:p>
        </w:tc>
        <w:tc>
          <w:tcPr>
            <w:tcW w:w="1080" w:type="dxa"/>
            <w:noWrap/>
          </w:tcPr>
          <w:p w14:paraId="211204BF">
            <w:pPr>
              <w:ind w:firstLine="480"/>
              <w:jc w:val="center"/>
            </w:pPr>
            <w:r>
              <w:rPr>
                <w:rFonts w:hint="eastAsia"/>
              </w:rPr>
              <w:t>0</w:t>
            </w:r>
          </w:p>
        </w:tc>
        <w:tc>
          <w:tcPr>
            <w:tcW w:w="1080" w:type="dxa"/>
            <w:noWrap/>
          </w:tcPr>
          <w:p w14:paraId="4B4CE702">
            <w:pPr>
              <w:ind w:firstLine="480"/>
              <w:jc w:val="center"/>
            </w:pPr>
            <w:r>
              <w:rPr>
                <w:rFonts w:hint="eastAsia"/>
              </w:rPr>
              <w:t>0</w:t>
            </w:r>
          </w:p>
        </w:tc>
        <w:tc>
          <w:tcPr>
            <w:tcW w:w="1080" w:type="dxa"/>
            <w:noWrap/>
          </w:tcPr>
          <w:p w14:paraId="60470679">
            <w:pPr>
              <w:ind w:firstLine="480"/>
              <w:jc w:val="center"/>
            </w:pPr>
            <w:r>
              <w:rPr>
                <w:rFonts w:hint="eastAsia"/>
              </w:rPr>
              <w:t>0</w:t>
            </w:r>
          </w:p>
        </w:tc>
        <w:tc>
          <w:tcPr>
            <w:tcW w:w="1080" w:type="dxa"/>
            <w:noWrap/>
          </w:tcPr>
          <w:p w14:paraId="1FD04C7D">
            <w:pPr>
              <w:ind w:firstLine="480"/>
              <w:jc w:val="center"/>
            </w:pPr>
            <w:r>
              <w:rPr>
                <w:rFonts w:hint="eastAsia"/>
              </w:rPr>
              <w:t>0</w:t>
            </w:r>
          </w:p>
        </w:tc>
      </w:tr>
      <w:tr w14:paraId="5F28CA1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80" w:type="dxa"/>
            <w:noWrap/>
          </w:tcPr>
          <w:p w14:paraId="1BAE7D6D">
            <w:pPr>
              <w:ind w:firstLine="480"/>
              <w:jc w:val="center"/>
            </w:pPr>
            <w:r>
              <w:rPr>
                <w:rFonts w:hint="eastAsia"/>
              </w:rPr>
              <w:t>5</w:t>
            </w:r>
          </w:p>
        </w:tc>
        <w:tc>
          <w:tcPr>
            <w:tcW w:w="1178" w:type="dxa"/>
            <w:noWrap/>
          </w:tcPr>
          <w:p w14:paraId="100E7A78">
            <w:pPr>
              <w:ind w:firstLine="480"/>
              <w:jc w:val="center"/>
            </w:pPr>
            <w:r>
              <w:rPr>
                <w:rFonts w:hint="eastAsia"/>
              </w:rPr>
              <w:t>jmyd</w:t>
            </w:r>
          </w:p>
        </w:tc>
        <w:tc>
          <w:tcPr>
            <w:tcW w:w="1080" w:type="dxa"/>
            <w:noWrap/>
          </w:tcPr>
          <w:p w14:paraId="167D0618">
            <w:pPr>
              <w:ind w:firstLine="480"/>
              <w:jc w:val="center"/>
            </w:pPr>
            <w:r>
              <w:rPr>
                <w:rFonts w:hint="eastAsia"/>
              </w:rPr>
              <w:t>0</w:t>
            </w:r>
          </w:p>
        </w:tc>
        <w:tc>
          <w:tcPr>
            <w:tcW w:w="1080" w:type="dxa"/>
            <w:noWrap/>
          </w:tcPr>
          <w:p w14:paraId="555F788C">
            <w:pPr>
              <w:ind w:firstLine="480"/>
              <w:jc w:val="center"/>
            </w:pPr>
            <w:r>
              <w:rPr>
                <w:rFonts w:hint="eastAsia"/>
              </w:rPr>
              <w:t>0</w:t>
            </w:r>
          </w:p>
        </w:tc>
        <w:tc>
          <w:tcPr>
            <w:tcW w:w="1080" w:type="dxa"/>
            <w:noWrap/>
          </w:tcPr>
          <w:p w14:paraId="4AA064AE">
            <w:pPr>
              <w:ind w:firstLine="480"/>
              <w:jc w:val="center"/>
            </w:pPr>
            <w:r>
              <w:rPr>
                <w:rFonts w:hint="eastAsia"/>
              </w:rPr>
              <w:t>20</w:t>
            </w:r>
          </w:p>
        </w:tc>
        <w:tc>
          <w:tcPr>
            <w:tcW w:w="1080" w:type="dxa"/>
            <w:noWrap/>
          </w:tcPr>
          <w:p w14:paraId="06434E8A">
            <w:pPr>
              <w:ind w:firstLine="480"/>
              <w:jc w:val="center"/>
            </w:pPr>
            <w:r>
              <w:rPr>
                <w:rFonts w:hint="eastAsia"/>
              </w:rPr>
              <w:t>0</w:t>
            </w:r>
          </w:p>
        </w:tc>
      </w:tr>
    </w:tbl>
    <w:p w14:paraId="3ADEAD67">
      <w:pPr>
        <w:ind w:firstLine="0" w:firstLineChars="0"/>
        <w:rPr>
          <w:rFonts w:hint="eastAsia"/>
        </w:rPr>
      </w:pPr>
    </w:p>
    <w:p w14:paraId="0BAF0D5B">
      <w:pPr>
        <w:pStyle w:val="44"/>
        <w:numPr>
          <w:ilvl w:val="0"/>
          <w:numId w:val="0"/>
        </w:numPr>
        <w:ind w:left="480"/>
      </w:pPr>
      <w:r>
        <w:rPr>
          <w:rFonts w:hint="eastAsia"/>
        </w:rPr>
        <w:t>导入invest软件运行</w:t>
      </w:r>
    </w:p>
    <w:p w14:paraId="55A013BB">
      <w:pPr>
        <w:ind w:firstLine="480"/>
      </w:pPr>
      <w:r>
        <w:drawing>
          <wp:anchor distT="0" distB="0" distL="114300" distR="114300" simplePos="0" relativeHeight="251671552" behindDoc="0" locked="0" layoutInCell="1" allowOverlap="1">
            <wp:simplePos x="0" y="0"/>
            <wp:positionH relativeFrom="margin">
              <wp:posOffset>42545</wp:posOffset>
            </wp:positionH>
            <wp:positionV relativeFrom="paragraph">
              <wp:posOffset>643890</wp:posOffset>
            </wp:positionV>
            <wp:extent cx="5759450" cy="3239770"/>
            <wp:effectExtent l="0" t="0" r="0" b="0"/>
            <wp:wrapSquare wrapText="bothSides"/>
            <wp:docPr id="88710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05426"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anchor>
        </w:drawing>
      </w:r>
      <w:r>
        <w:rPr>
          <w:rFonts w:hint="eastAsia"/>
        </w:rPr>
        <w:t>在invest软件中创建工作空间，将重分类的2023年浙江省湖州市安吉县的最新土地覆盖数据和安吉县碳密度威胁源表格导入invest运行，如图2.1所示。</w:t>
      </w:r>
    </w:p>
    <w:p w14:paraId="7921C532">
      <w:pPr>
        <w:pStyle w:val="47"/>
        <w:ind w:firstLine="480"/>
      </w:pPr>
      <w:r>
        <w:rPr>
          <w:rFonts w:hint="eastAsia"/>
        </w:rPr>
        <w:t>图2.1  invest软件图</w:t>
      </w:r>
    </w:p>
    <w:p w14:paraId="1F970E52">
      <w:pPr>
        <w:pStyle w:val="44"/>
        <w:numPr>
          <w:ilvl w:val="0"/>
          <w:numId w:val="0"/>
        </w:numPr>
        <w:ind w:left="480"/>
      </w:pPr>
      <w:r>
        <w:rPr>
          <w:rFonts w:hint="eastAsia"/>
        </w:rPr>
        <w:t>基于 ArcGIS 的碳储量计算方法</w:t>
      </w:r>
    </w:p>
    <w:p w14:paraId="010D1CB6">
      <w:pPr>
        <w:ind w:firstLine="480"/>
      </w:pPr>
      <w:r>
        <w:rPr>
          <w:rFonts w:hint="eastAsia"/>
        </w:rPr>
        <w:t>InVEST 碳储量与固存模型运行后，可得到四类碳库栅格数据：</w:t>
      </w:r>
    </w:p>
    <w:p w14:paraId="6F131914">
      <w:pPr>
        <w:ind w:firstLine="480"/>
      </w:pPr>
      <w:r>
        <w:rPr>
          <w:rFonts w:hint="eastAsia"/>
        </w:rPr>
        <w:t>地上生物量碳库（C_above）、地下生物量碳库（C_below）、死亡有机质碳库（C_dead）和土壤有机碳库（C_soil）。</w:t>
      </w:r>
    </w:p>
    <w:p w14:paraId="4AB5FF7D">
      <w:pPr>
        <w:ind w:firstLine="480"/>
      </w:pPr>
      <w:r>
        <w:rPr>
          <w:rFonts w:hint="eastAsia"/>
        </w:rPr>
        <w:t>各碳库单位均为</w:t>
      </w:r>
      <w:r>
        <w:t xml:space="preserve"> Mg C·ha⁻¹</w:t>
      </w:r>
      <w:r>
        <w:rPr>
          <w:rFonts w:hint="eastAsia"/>
        </w:rPr>
        <w:t>（每公顷碳储量）。</w:t>
      </w:r>
    </w:p>
    <w:p w14:paraId="43174117">
      <w:pPr>
        <w:ind w:firstLine="480"/>
      </w:pPr>
      <w:r>
        <w:rPr>
          <w:rFonts w:hint="eastAsia"/>
        </w:rPr>
        <w:t>为了计算研究区的总碳储量，本研究在 ArcGIS 10.8 平台上进行叠加、裁剪与统计操作，主要步骤如下：</w:t>
      </w:r>
    </w:p>
    <w:p w14:paraId="6E28F1A9">
      <w:pPr>
        <w:ind w:firstLine="480"/>
      </w:pPr>
      <w:r>
        <w:rPr>
          <w:rFonts w:hint="eastAsia"/>
        </w:rPr>
        <w:t>1. 数据裁剪：利用安吉县行政边界（AnjiCounty.shp）对 InVEST 输出的四类碳库图层（tif 文件）进行裁剪，得到安吉县范围内的 C_above、C_below、C_dead 和 C_soil 栅格。</w:t>
      </w:r>
    </w:p>
    <w:p w14:paraId="33CBC639">
      <w:pPr>
        <w:ind w:firstLine="480"/>
      </w:pPr>
      <w:r>
        <w:rPr>
          <w:rFonts w:hint="eastAsia"/>
        </w:rPr>
        <w:t>2. 碳库叠加：通过 Raster Calculator（栅格计算器），将四类碳库进行像元级叠加，得到总碳储量栅格：</w:t>
      </w:r>
    </w:p>
    <w:p w14:paraId="2B804CDA">
      <w:pPr>
        <w:ind w:firstLine="480"/>
      </w:pPr>
    </w:p>
    <w:p w14:paraId="7411205B">
      <w:pPr>
        <w:ind w:firstLine="199" w:firstLineChars="83"/>
      </w:pPr>
      <w:r>
        <w:drawing>
          <wp:anchor distT="0" distB="0" distL="114300" distR="114300" simplePos="0" relativeHeight="251672576" behindDoc="0" locked="0" layoutInCell="1" allowOverlap="1">
            <wp:simplePos x="0" y="0"/>
            <wp:positionH relativeFrom="margin">
              <wp:align>center</wp:align>
            </wp:positionH>
            <wp:positionV relativeFrom="paragraph">
              <wp:posOffset>38735</wp:posOffset>
            </wp:positionV>
            <wp:extent cx="4991735" cy="390525"/>
            <wp:effectExtent l="0" t="0" r="0" b="9525"/>
            <wp:wrapSquare wrapText="bothSides"/>
            <wp:docPr id="140554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0309"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991797" cy="390580"/>
                    </a:xfrm>
                    <a:prstGeom prst="rect">
                      <a:avLst/>
                    </a:prstGeom>
                  </pic:spPr>
                </pic:pic>
              </a:graphicData>
            </a:graphic>
          </wp:anchor>
        </w:drawing>
      </w:r>
    </w:p>
    <w:p w14:paraId="5013491B">
      <w:pPr>
        <w:ind w:firstLine="480"/>
      </w:pPr>
      <w:r>
        <w:rPr>
          <w:rFonts w:hint="eastAsia"/>
        </w:rPr>
        <w:t>3. 统计分析：利用 Zonal Statistics as Table工具，以安吉县行政边界为统计区域，对总碳储量图进行分区统计，提取平均值（Mean）、像元数（Count）和总和（Sum）等属性。</w:t>
      </w:r>
    </w:p>
    <w:p w14:paraId="0EE86901">
      <w:pPr>
        <w:ind w:firstLine="199" w:firstLineChars="83"/>
      </w:pPr>
      <w:r>
        <w:rPr>
          <w:rFonts w:hint="eastAsia"/>
        </w:rPr>
        <w:t>（2）碳储量计算公式</w:t>
      </w:r>
    </w:p>
    <w:p w14:paraId="0510F6D3">
      <w:pPr>
        <w:ind w:firstLine="480"/>
      </w:pPr>
      <w:r>
        <w:drawing>
          <wp:anchor distT="0" distB="0" distL="114300" distR="114300" simplePos="0" relativeHeight="251673600" behindDoc="0" locked="0" layoutInCell="1" allowOverlap="1">
            <wp:simplePos x="0" y="0"/>
            <wp:positionH relativeFrom="margin">
              <wp:align>center</wp:align>
            </wp:positionH>
            <wp:positionV relativeFrom="paragraph">
              <wp:posOffset>761365</wp:posOffset>
            </wp:positionV>
            <wp:extent cx="1908175" cy="672465"/>
            <wp:effectExtent l="0" t="0" r="0" b="0"/>
            <wp:wrapSquare wrapText="bothSides"/>
            <wp:docPr id="112732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9012"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908175" cy="672465"/>
                    </a:xfrm>
                    <a:prstGeom prst="rect">
                      <a:avLst/>
                    </a:prstGeom>
                    <a:noFill/>
                  </pic:spPr>
                </pic:pic>
              </a:graphicData>
            </a:graphic>
          </wp:anchor>
        </w:drawing>
      </w:r>
      <w:r>
        <w:t xml:space="preserve">InVEST </w:t>
      </w:r>
      <w:r>
        <w:rPr>
          <w:rFonts w:hint="eastAsia"/>
        </w:rPr>
        <w:t>模型输出的像元单位为</w:t>
      </w:r>
      <w:r>
        <w:t xml:space="preserve"> Mg C·ha⁻¹</w:t>
      </w:r>
      <w:r>
        <w:rPr>
          <w:rFonts w:hint="eastAsia"/>
        </w:rPr>
        <w:t>，而</w:t>
      </w:r>
      <w:r>
        <w:t xml:space="preserve"> ArcGIS </w:t>
      </w:r>
      <w:r>
        <w:rPr>
          <w:rFonts w:hint="eastAsia"/>
        </w:rPr>
        <w:t>统计的</w:t>
      </w:r>
      <w:r>
        <w:t xml:space="preserve"> `SUM` </w:t>
      </w:r>
      <w:r>
        <w:rPr>
          <w:rFonts w:hint="eastAsia"/>
        </w:rPr>
        <w:t>值表示所有像元碳密度的总和。若单个像元面积为</w:t>
      </w:r>
      <w:r>
        <w:t xml:space="preserve"> ( A_</w:t>
      </w:r>
      <w:r>
        <w:rPr>
          <w:vertAlign w:val="subscript"/>
        </w:rPr>
        <w:t>cell</w:t>
      </w:r>
      <w:r>
        <w:t xml:space="preserve"> )</w:t>
      </w:r>
      <w:r>
        <w:rPr>
          <w:rFonts w:hint="eastAsia"/>
        </w:rPr>
        <w:t>（</w:t>
      </w:r>
      <w:r>
        <w:t>ha</w:t>
      </w:r>
      <w:r>
        <w:rPr>
          <w:rFonts w:hint="eastAsia"/>
        </w:rPr>
        <w:t>），则研究区总碳储量可表示为：</w:t>
      </w:r>
    </w:p>
    <w:p w14:paraId="76D9BD9D">
      <w:pPr>
        <w:ind w:firstLine="480"/>
        <w:rPr>
          <w:rFonts w:hint="eastAsia"/>
        </w:rPr>
      </w:pPr>
      <w:r>
        <w:drawing>
          <wp:inline distT="0" distB="0" distL="0" distR="0">
            <wp:extent cx="2305050" cy="866775"/>
            <wp:effectExtent l="0" t="0" r="0" b="9525"/>
            <wp:docPr id="632756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6793" name="图片 1"/>
                    <pic:cNvPicPr>
                      <a:picLocks noChangeAspect="1"/>
                    </pic:cNvPicPr>
                  </pic:nvPicPr>
                  <pic:blipFill>
                    <a:blip r:embed="rId30"/>
                    <a:stretch>
                      <a:fillRect/>
                    </a:stretch>
                  </pic:blipFill>
                  <pic:spPr>
                    <a:xfrm>
                      <a:off x="0" y="0"/>
                      <a:ext cx="2305372" cy="866896"/>
                    </a:xfrm>
                    <a:prstGeom prst="rect">
                      <a:avLst/>
                    </a:prstGeom>
                  </pic:spPr>
                </pic:pic>
              </a:graphicData>
            </a:graphic>
          </wp:inline>
        </w:drawing>
      </w:r>
    </w:p>
    <w:p w14:paraId="1A4C1C62">
      <w:pPr>
        <w:ind w:firstLine="480"/>
      </w:pPr>
      <w:r>
        <w:drawing>
          <wp:anchor distT="0" distB="0" distL="114300" distR="114300" simplePos="0" relativeHeight="251674624" behindDoc="0" locked="0" layoutInCell="1" allowOverlap="1">
            <wp:simplePos x="0" y="0"/>
            <wp:positionH relativeFrom="column">
              <wp:posOffset>137795</wp:posOffset>
            </wp:positionH>
            <wp:positionV relativeFrom="paragraph">
              <wp:posOffset>302895</wp:posOffset>
            </wp:positionV>
            <wp:extent cx="5759450" cy="2356485"/>
            <wp:effectExtent l="0" t="0" r="0" b="5715"/>
            <wp:wrapTopAndBottom/>
            <wp:docPr id="692623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3165"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59450" cy="2356485"/>
                    </a:xfrm>
                    <a:prstGeom prst="rect">
                      <a:avLst/>
                    </a:prstGeom>
                  </pic:spPr>
                </pic:pic>
              </a:graphicData>
            </a:graphic>
          </wp:anchor>
        </w:drawing>
      </w:r>
      <w:r>
        <w:rPr>
          <w:rFonts w:hint="eastAsia"/>
        </w:rPr>
        <w:t>其中：</w:t>
      </w:r>
    </w:p>
    <w:p w14:paraId="74E9A840">
      <w:pPr>
        <w:pStyle w:val="44"/>
        <w:numPr>
          <w:ilvl w:val="0"/>
          <w:numId w:val="0"/>
        </w:numPr>
        <w:ind w:left="480"/>
      </w:pPr>
      <w:r>
        <w:rPr>
          <w:rFonts w:hint="eastAsia"/>
        </w:rPr>
        <w:t>安吉县碳储量结果</w:t>
      </w:r>
    </w:p>
    <w:p w14:paraId="42E8987C">
      <w:pPr>
        <w:ind w:firstLine="480"/>
      </w:pPr>
      <w:r>
        <w:rPr>
          <w:rFonts w:hint="eastAsia"/>
        </w:rPr>
        <w:t>通过 ArcGIS 的 Zonal Statistics 工具，对安吉县总碳储量栅格进行统计，结果如表所示。</w:t>
      </w:r>
    </w:p>
    <w:tbl>
      <w:tblPr>
        <w:tblStyle w:val="52"/>
        <w:tblW w:w="8137" w:type="dxa"/>
        <w:tblInd w:w="47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375"/>
        <w:gridCol w:w="1923"/>
        <w:gridCol w:w="1442"/>
        <w:gridCol w:w="1634"/>
      </w:tblGrid>
      <w:tr w14:paraId="5E38328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763" w:type="dxa"/>
            <w:tcBorders>
              <w:top w:val="single" w:color="auto" w:sz="12" w:space="0"/>
              <w:left w:val="nil"/>
              <w:bottom w:val="single" w:color="auto" w:sz="4" w:space="0"/>
              <w:right w:val="nil"/>
              <w:insideH w:val="single" w:sz="4" w:space="0"/>
              <w:insideV w:val="nil"/>
              <w:tl2br w:val="nil"/>
              <w:tr2bl w:val="nil"/>
            </w:tcBorders>
            <w:noWrap/>
          </w:tcPr>
          <w:p w14:paraId="702EA2FD">
            <w:pPr>
              <w:ind w:firstLine="439" w:firstLineChars="183"/>
            </w:pPr>
            <w:r>
              <w:t>NAME</w:t>
            </w:r>
          </w:p>
        </w:tc>
        <w:tc>
          <w:tcPr>
            <w:tcW w:w="1375" w:type="dxa"/>
            <w:tcBorders>
              <w:top w:val="single" w:color="auto" w:sz="12" w:space="0"/>
              <w:bottom w:val="single" w:color="auto" w:sz="4" w:space="0"/>
              <w:right w:val="nil"/>
              <w:insideH w:val="single" w:sz="4" w:space="0"/>
              <w:insideV w:val="nil"/>
              <w:tl2br w:val="nil"/>
              <w:tr2bl w:val="nil"/>
            </w:tcBorders>
            <w:noWrap/>
          </w:tcPr>
          <w:p w14:paraId="482FAADD">
            <w:pPr>
              <w:ind w:firstLine="199" w:firstLineChars="83"/>
            </w:pPr>
            <w:r>
              <w:t>SUM</w:t>
            </w:r>
          </w:p>
        </w:tc>
        <w:tc>
          <w:tcPr>
            <w:tcW w:w="1923" w:type="dxa"/>
            <w:tcBorders>
              <w:top w:val="single" w:color="auto" w:sz="12" w:space="0"/>
              <w:bottom w:val="single" w:color="auto" w:sz="4" w:space="0"/>
              <w:right w:val="nil"/>
              <w:insideH w:val="single" w:sz="4" w:space="0"/>
              <w:insideV w:val="nil"/>
              <w:tl2br w:val="nil"/>
              <w:tr2bl w:val="nil"/>
            </w:tcBorders>
            <w:noWrap/>
          </w:tcPr>
          <w:p w14:paraId="67BAA9F0">
            <w:pPr>
              <w:ind w:firstLine="199" w:firstLineChars="83"/>
            </w:pPr>
            <w:r>
              <w:rPr>
                <w:rFonts w:hint="eastAsia"/>
              </w:rPr>
              <w:t>ZONE_CODE</w:t>
            </w:r>
          </w:p>
        </w:tc>
        <w:tc>
          <w:tcPr>
            <w:tcW w:w="1442" w:type="dxa"/>
            <w:tcBorders>
              <w:top w:val="single" w:color="auto" w:sz="12" w:space="0"/>
              <w:bottom w:val="single" w:color="auto" w:sz="4" w:space="0"/>
              <w:right w:val="nil"/>
              <w:insideH w:val="single" w:sz="4" w:space="0"/>
              <w:insideV w:val="nil"/>
              <w:tl2br w:val="nil"/>
              <w:tr2bl w:val="nil"/>
            </w:tcBorders>
            <w:noWrap/>
          </w:tcPr>
          <w:p w14:paraId="7F164B3A">
            <w:pPr>
              <w:ind w:firstLine="0" w:firstLineChars="0"/>
              <w:jc w:val="center"/>
            </w:pPr>
            <w:r>
              <w:rPr>
                <w:rFonts w:hint="eastAsia"/>
              </w:rPr>
              <w:t>COUNT</w:t>
            </w:r>
          </w:p>
        </w:tc>
        <w:tc>
          <w:tcPr>
            <w:tcW w:w="1634" w:type="dxa"/>
            <w:tcBorders>
              <w:top w:val="single" w:color="auto" w:sz="12" w:space="0"/>
              <w:bottom w:val="single" w:color="auto" w:sz="4" w:space="0"/>
              <w:right w:val="nil"/>
              <w:insideH w:val="single" w:sz="4" w:space="0"/>
              <w:insideV w:val="nil"/>
              <w:tl2br w:val="nil"/>
              <w:tr2bl w:val="nil"/>
            </w:tcBorders>
            <w:noWrap/>
          </w:tcPr>
          <w:p w14:paraId="1550F79E">
            <w:pPr>
              <w:ind w:firstLine="199" w:firstLineChars="83"/>
              <w:jc w:val="center"/>
            </w:pPr>
            <w:r>
              <w:rPr>
                <w:rFonts w:hint="eastAsia"/>
              </w:rPr>
              <w:t>AREA</w:t>
            </w:r>
          </w:p>
        </w:tc>
      </w:tr>
      <w:tr w14:paraId="005B438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763" w:type="dxa"/>
            <w:noWrap/>
          </w:tcPr>
          <w:p w14:paraId="2CF64AFE">
            <w:pPr>
              <w:ind w:firstLine="0" w:firstLineChars="0"/>
              <w:jc w:val="center"/>
            </w:pPr>
            <w:r>
              <w:t>A</w:t>
            </w:r>
            <w:r>
              <w:rPr>
                <w:rFonts w:hint="eastAsia"/>
              </w:rPr>
              <w:t>njitanchuliang</w:t>
            </w:r>
          </w:p>
        </w:tc>
        <w:tc>
          <w:tcPr>
            <w:tcW w:w="1375" w:type="dxa"/>
            <w:noWrap/>
          </w:tcPr>
          <w:p w14:paraId="7FA7BABA">
            <w:pPr>
              <w:ind w:firstLine="0" w:firstLineChars="0"/>
            </w:pPr>
            <w:r>
              <w:t>19361599</w:t>
            </w:r>
          </w:p>
        </w:tc>
        <w:tc>
          <w:tcPr>
            <w:tcW w:w="1923" w:type="dxa"/>
            <w:noWrap/>
          </w:tcPr>
          <w:p w14:paraId="60B36435">
            <w:pPr>
              <w:ind w:firstLine="679" w:firstLineChars="283"/>
            </w:pPr>
            <w:r>
              <w:rPr>
                <w:rFonts w:hint="eastAsia"/>
              </w:rPr>
              <w:t>1</w:t>
            </w:r>
          </w:p>
        </w:tc>
        <w:tc>
          <w:tcPr>
            <w:tcW w:w="1442" w:type="dxa"/>
            <w:noWrap/>
          </w:tcPr>
          <w:p w14:paraId="5D184228">
            <w:pPr>
              <w:ind w:firstLine="0" w:firstLineChars="0"/>
              <w:jc w:val="center"/>
            </w:pPr>
            <w:r>
              <w:rPr>
                <w:rFonts w:hint="eastAsia"/>
              </w:rPr>
              <w:t>2053715</w:t>
            </w:r>
          </w:p>
        </w:tc>
        <w:tc>
          <w:tcPr>
            <w:tcW w:w="1634" w:type="dxa"/>
            <w:noWrap/>
          </w:tcPr>
          <w:p w14:paraId="06AEF0DF">
            <w:pPr>
              <w:ind w:firstLine="0" w:firstLineChars="0"/>
              <w:jc w:val="center"/>
            </w:pPr>
            <w:r>
              <w:rPr>
                <w:rFonts w:hint="eastAsia"/>
              </w:rPr>
              <w:t>1848343500</w:t>
            </w:r>
          </w:p>
        </w:tc>
      </w:tr>
      <w:tr w14:paraId="0EDAD2D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763" w:type="dxa"/>
            <w:noWrap/>
          </w:tcPr>
          <w:p w14:paraId="483B35F7">
            <w:pPr>
              <w:ind w:firstLine="199" w:firstLineChars="83"/>
              <w:jc w:val="center"/>
            </w:pPr>
            <w:r>
              <w:t>MIN</w:t>
            </w:r>
          </w:p>
        </w:tc>
        <w:tc>
          <w:tcPr>
            <w:tcW w:w="1375" w:type="dxa"/>
            <w:noWrap/>
          </w:tcPr>
          <w:p w14:paraId="229211FC">
            <w:pPr>
              <w:ind w:firstLine="199" w:firstLineChars="83"/>
            </w:pPr>
            <w:r>
              <w:t>MAX</w:t>
            </w:r>
          </w:p>
        </w:tc>
        <w:tc>
          <w:tcPr>
            <w:tcW w:w="1923" w:type="dxa"/>
            <w:noWrap/>
          </w:tcPr>
          <w:p w14:paraId="58C8BCD3">
            <w:pPr>
              <w:ind w:firstLine="439" w:firstLineChars="183"/>
            </w:pPr>
            <w:r>
              <w:t>RANGE</w:t>
            </w:r>
          </w:p>
        </w:tc>
        <w:tc>
          <w:tcPr>
            <w:tcW w:w="1442" w:type="dxa"/>
            <w:noWrap/>
          </w:tcPr>
          <w:p w14:paraId="2800C10C">
            <w:pPr>
              <w:ind w:firstLine="0" w:firstLineChars="0"/>
              <w:jc w:val="center"/>
            </w:pPr>
            <w:r>
              <w:t>MEAN</w:t>
            </w:r>
          </w:p>
        </w:tc>
        <w:tc>
          <w:tcPr>
            <w:tcW w:w="1634" w:type="dxa"/>
            <w:noWrap/>
          </w:tcPr>
          <w:p w14:paraId="3FFAAD65">
            <w:pPr>
              <w:ind w:firstLine="439" w:firstLineChars="183"/>
            </w:pPr>
            <w:r>
              <w:t>STD</w:t>
            </w:r>
          </w:p>
        </w:tc>
      </w:tr>
      <w:tr w14:paraId="70B9AD2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763" w:type="dxa"/>
            <w:noWrap/>
          </w:tcPr>
          <w:p w14:paraId="7BD718BB">
            <w:pPr>
              <w:ind w:firstLine="679" w:firstLineChars="283"/>
            </w:pPr>
            <w:r>
              <w:t>0</w:t>
            </w:r>
          </w:p>
        </w:tc>
        <w:tc>
          <w:tcPr>
            <w:tcW w:w="1375" w:type="dxa"/>
            <w:noWrap/>
          </w:tcPr>
          <w:p w14:paraId="05DCB898">
            <w:pPr>
              <w:ind w:firstLine="199" w:firstLineChars="83"/>
            </w:pPr>
            <w:r>
              <w:t>11.907</w:t>
            </w:r>
          </w:p>
        </w:tc>
        <w:tc>
          <w:tcPr>
            <w:tcW w:w="1923" w:type="dxa"/>
            <w:noWrap/>
          </w:tcPr>
          <w:p w14:paraId="7FA26007">
            <w:pPr>
              <w:ind w:firstLine="480"/>
            </w:pPr>
            <w:r>
              <w:t>11.907</w:t>
            </w:r>
          </w:p>
        </w:tc>
        <w:tc>
          <w:tcPr>
            <w:tcW w:w="1442" w:type="dxa"/>
            <w:noWrap/>
          </w:tcPr>
          <w:p w14:paraId="134AF152">
            <w:pPr>
              <w:ind w:firstLine="199" w:firstLineChars="83"/>
              <w:jc w:val="center"/>
            </w:pPr>
            <w:r>
              <w:t>9.4</w:t>
            </w:r>
            <w:r>
              <w:rPr>
                <w:rFonts w:hint="eastAsia"/>
              </w:rPr>
              <w:t>3</w:t>
            </w:r>
          </w:p>
        </w:tc>
        <w:tc>
          <w:tcPr>
            <w:tcW w:w="1634" w:type="dxa"/>
            <w:noWrap/>
          </w:tcPr>
          <w:p w14:paraId="3D18852C">
            <w:pPr>
              <w:ind w:firstLine="439" w:firstLineChars="183"/>
            </w:pPr>
            <w:r>
              <w:t>3.69</w:t>
            </w:r>
          </w:p>
        </w:tc>
      </w:tr>
    </w:tbl>
    <w:p w14:paraId="1E352FB4">
      <w:pPr>
        <w:ind w:firstLine="0" w:firstLineChars="0"/>
      </w:pPr>
    </w:p>
    <w:p w14:paraId="7973C136">
      <w:pPr>
        <w:ind w:firstLine="480"/>
      </w:pPr>
      <w:r>
        <w:rPr>
          <w:rFonts w:hint="eastAsia"/>
        </w:rPr>
        <w:t>安吉县共有</w:t>
      </w:r>
      <w:r>
        <w:t xml:space="preserve"> 2,053,715 </w:t>
      </w:r>
      <w:r>
        <w:rPr>
          <w:rFonts w:hint="eastAsia"/>
        </w:rPr>
        <w:t>个像元，平均碳储量为</w:t>
      </w:r>
      <w:r>
        <w:t xml:space="preserve"> 9.43 Mg C·ha⁻¹</w:t>
      </w:r>
      <w:r>
        <w:rPr>
          <w:rFonts w:hint="eastAsia"/>
        </w:rPr>
        <w:t>，碳储量总和为</w:t>
      </w:r>
      <w:r>
        <w:t xml:space="preserve"> 19,361,599.27 Mg C·ha⁻¹</w:t>
      </w:r>
      <w:r>
        <w:rPr>
          <w:rFonts w:hint="eastAsia"/>
        </w:rPr>
        <w:t>。</w:t>
      </w:r>
    </w:p>
    <w:p w14:paraId="68C836FE">
      <w:pPr>
        <w:ind w:firstLine="480"/>
      </w:pPr>
      <w:r>
        <w:drawing>
          <wp:anchor distT="0" distB="0" distL="114300" distR="114300" simplePos="0" relativeHeight="251675648" behindDoc="0" locked="0" layoutInCell="1" allowOverlap="1">
            <wp:simplePos x="0" y="0"/>
            <wp:positionH relativeFrom="margin">
              <wp:posOffset>-1270</wp:posOffset>
            </wp:positionH>
            <wp:positionV relativeFrom="paragraph">
              <wp:posOffset>295910</wp:posOffset>
            </wp:positionV>
            <wp:extent cx="5759450" cy="2249805"/>
            <wp:effectExtent l="0" t="0" r="0" b="0"/>
            <wp:wrapTopAndBottom/>
            <wp:docPr id="7659803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0358" name="图片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59450" cy="2249805"/>
                    </a:xfrm>
                    <a:prstGeom prst="rect">
                      <a:avLst/>
                    </a:prstGeom>
                    <a:noFill/>
                  </pic:spPr>
                </pic:pic>
              </a:graphicData>
            </a:graphic>
          </wp:anchor>
        </w:drawing>
      </w:r>
      <w:r>
        <w:rPr>
          <w:rFonts w:hint="eastAsia"/>
        </w:rPr>
        <w:t>经换算（每像元 0.09 ha）可得：</w:t>
      </w:r>
    </w:p>
    <w:p w14:paraId="63F28A35">
      <w:pPr>
        <w:ind w:firstLine="480"/>
      </w:pPr>
      <w:r>
        <w:rPr>
          <w:rFonts w:hint="eastAsia"/>
        </w:rPr>
        <w:t>（4）结果说明</w:t>
      </w:r>
    </w:p>
    <w:p w14:paraId="6AAD0E95">
      <w:pPr>
        <w:ind w:firstLine="480"/>
      </w:pPr>
      <w:r>
        <w:rPr>
          <w:rFonts w:hint="eastAsia"/>
        </w:rPr>
        <w:t>从空间分布上看，碳储量高值主要分布在森林覆盖区及地势起伏较大的山区；</w:t>
      </w:r>
    </w:p>
    <w:p w14:paraId="0C156996">
      <w:pPr>
        <w:ind w:firstLine="480"/>
      </w:pPr>
      <w:r>
        <w:rPr>
          <w:rFonts w:hint="eastAsia"/>
        </w:rPr>
        <w:t>耕地和居民用地碳储量较低。该结果反映出植被类型与地形条件对区域碳储量分布具有显著影响。</w:t>
      </w:r>
    </w:p>
    <w:p w14:paraId="2C8051D8">
      <w:pPr>
        <w:ind w:firstLine="480"/>
      </w:pPr>
    </w:p>
    <w:p w14:paraId="51D0A7B4">
      <w:pPr>
        <w:ind w:firstLine="480"/>
      </w:pPr>
    </w:p>
    <w:p w14:paraId="4CBE953B">
      <w:pPr>
        <w:ind w:firstLine="480"/>
      </w:pPr>
    </w:p>
    <w:p w14:paraId="466FE767">
      <w:pPr>
        <w:ind w:firstLine="480"/>
      </w:pPr>
    </w:p>
    <w:p w14:paraId="4E0D34A2">
      <w:pPr>
        <w:ind w:firstLine="480"/>
      </w:pPr>
    </w:p>
    <w:p w14:paraId="6BA8F900">
      <w:pPr>
        <w:ind w:firstLine="480"/>
      </w:pPr>
    </w:p>
    <w:p w14:paraId="4C656026">
      <w:pPr>
        <w:ind w:firstLine="480"/>
      </w:pPr>
    </w:p>
    <w:p w14:paraId="6826620D">
      <w:pPr>
        <w:ind w:firstLine="480"/>
      </w:pPr>
    </w:p>
    <w:p w14:paraId="238C7B2B">
      <w:pPr>
        <w:ind w:firstLine="480"/>
      </w:pPr>
    </w:p>
    <w:p w14:paraId="5F5DF06B">
      <w:pPr>
        <w:ind w:firstLine="480"/>
      </w:pPr>
    </w:p>
    <w:p w14:paraId="31DD23DF">
      <w:pPr>
        <w:ind w:firstLine="480"/>
      </w:pPr>
    </w:p>
    <w:p w14:paraId="0BB5E42D">
      <w:pPr>
        <w:ind w:firstLine="480"/>
      </w:pPr>
    </w:p>
    <w:p w14:paraId="5BFF54BC">
      <w:pPr>
        <w:ind w:firstLine="480"/>
      </w:pPr>
    </w:p>
    <w:p w14:paraId="6D628796">
      <w:pPr>
        <w:ind w:firstLine="480"/>
        <w:sectPr>
          <w:headerReference r:id="rId7" w:type="default"/>
          <w:pgSz w:w="11906" w:h="16838"/>
          <w:pgMar w:top="1985" w:right="1418" w:bottom="1418" w:left="1418" w:header="1417" w:footer="1134" w:gutter="0"/>
          <w:pgNumType w:fmt="upperRoman"/>
          <w:cols w:space="425" w:num="1"/>
          <w:docGrid w:type="lines" w:linePitch="326" w:charSpace="0"/>
        </w:sectPr>
      </w:pPr>
      <w:bookmarkStart w:id="11" w:name="_GoBack"/>
      <w:bookmarkEnd w:id="11"/>
    </w:p>
    <w:p w14:paraId="77F876C8">
      <w:pPr>
        <w:pStyle w:val="43"/>
        <w:numPr>
          <w:ilvl w:val="0"/>
          <w:numId w:val="0"/>
        </w:numPr>
        <w:ind w:left="480"/>
      </w:pPr>
      <w:r>
        <w:drawing>
          <wp:anchor distT="0" distB="0" distL="114300" distR="114300" simplePos="0" relativeHeight="251676672" behindDoc="0" locked="0" layoutInCell="1" allowOverlap="1">
            <wp:simplePos x="0" y="0"/>
            <wp:positionH relativeFrom="column">
              <wp:posOffset>72390</wp:posOffset>
            </wp:positionH>
            <wp:positionV relativeFrom="paragraph">
              <wp:posOffset>777240</wp:posOffset>
            </wp:positionV>
            <wp:extent cx="5595620" cy="7668260"/>
            <wp:effectExtent l="0" t="0" r="5080" b="8890"/>
            <wp:wrapSquare wrapText="bothSides"/>
            <wp:docPr id="1723971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1359" name="图片 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95620" cy="7668260"/>
                    </a:xfrm>
                    <a:prstGeom prst="rect">
                      <a:avLst/>
                    </a:prstGeom>
                    <a:noFill/>
                    <a:ln>
                      <a:noFill/>
                    </a:ln>
                  </pic:spPr>
                </pic:pic>
              </a:graphicData>
            </a:graphic>
          </wp:anchor>
        </w:drawing>
      </w:r>
      <w:r>
        <w:rPr>
          <w:rFonts w:hint="eastAsia"/>
        </w:rPr>
        <w:t>成果图</w:t>
      </w:r>
    </w:p>
    <w:p w14:paraId="11F1C913">
      <w:pPr>
        <w:pStyle w:val="59"/>
        <w:numPr>
          <w:ilvl w:val="0"/>
          <w:numId w:val="0"/>
        </w:numPr>
      </w:pPr>
      <w:r>
        <w:drawing>
          <wp:anchor distT="0" distB="0" distL="114300" distR="114300" simplePos="0" relativeHeight="251680768" behindDoc="0" locked="0" layoutInCell="1" allowOverlap="1">
            <wp:simplePos x="0" y="0"/>
            <wp:positionH relativeFrom="column">
              <wp:posOffset>50165</wp:posOffset>
            </wp:positionH>
            <wp:positionV relativeFrom="paragraph">
              <wp:posOffset>202565</wp:posOffset>
            </wp:positionV>
            <wp:extent cx="5846445" cy="8137525"/>
            <wp:effectExtent l="0" t="0" r="1905" b="0"/>
            <wp:wrapTopAndBottom/>
            <wp:docPr id="13169586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58694" name="图片 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46445" cy="8137525"/>
                    </a:xfrm>
                    <a:prstGeom prst="rect">
                      <a:avLst/>
                    </a:prstGeom>
                    <a:noFill/>
                    <a:ln>
                      <a:noFill/>
                    </a:ln>
                  </pic:spPr>
                </pic:pic>
              </a:graphicData>
            </a:graphic>
          </wp:anchor>
        </w:drawing>
      </w:r>
      <w:r>
        <w:drawing>
          <wp:anchor distT="0" distB="0" distL="114300" distR="114300" simplePos="0" relativeHeight="251679744" behindDoc="0" locked="0" layoutInCell="1" allowOverlap="1">
            <wp:simplePos x="0" y="0"/>
            <wp:positionH relativeFrom="column">
              <wp:posOffset>84455</wp:posOffset>
            </wp:positionH>
            <wp:positionV relativeFrom="paragraph">
              <wp:posOffset>193040</wp:posOffset>
            </wp:positionV>
            <wp:extent cx="5759450" cy="8137525"/>
            <wp:effectExtent l="0" t="0" r="0" b="0"/>
            <wp:wrapSquare wrapText="bothSides"/>
            <wp:docPr id="15900767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6782" name="图片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59450" cy="8137525"/>
                    </a:xfrm>
                    <a:prstGeom prst="rect">
                      <a:avLst/>
                    </a:prstGeom>
                    <a:noFill/>
                    <a:ln>
                      <a:noFill/>
                    </a:ln>
                  </pic:spPr>
                </pic:pic>
              </a:graphicData>
            </a:graphic>
          </wp:anchor>
        </w:drawing>
      </w:r>
      <w:r>
        <w:drawing>
          <wp:anchor distT="0" distB="0" distL="114300" distR="114300" simplePos="0" relativeHeight="251677696" behindDoc="0" locked="0" layoutInCell="1" allowOverlap="1">
            <wp:simplePos x="0" y="0"/>
            <wp:positionH relativeFrom="column">
              <wp:posOffset>136525</wp:posOffset>
            </wp:positionH>
            <wp:positionV relativeFrom="paragraph">
              <wp:posOffset>192405</wp:posOffset>
            </wp:positionV>
            <wp:extent cx="5759450" cy="8137525"/>
            <wp:effectExtent l="0" t="0" r="0" b="0"/>
            <wp:wrapTopAndBottom/>
            <wp:docPr id="18254481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8109" name="图片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759450" cy="8137525"/>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margin">
              <wp:posOffset>93345</wp:posOffset>
            </wp:positionH>
            <wp:positionV relativeFrom="paragraph">
              <wp:posOffset>192405</wp:posOffset>
            </wp:positionV>
            <wp:extent cx="5759450" cy="8137525"/>
            <wp:effectExtent l="0" t="0" r="0" b="0"/>
            <wp:wrapTopAndBottom/>
            <wp:docPr id="2139481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192" name="图片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759450" cy="8137525"/>
                    </a:xfrm>
                    <a:prstGeom prst="rect">
                      <a:avLst/>
                    </a:prstGeom>
                    <a:noFill/>
                    <a:ln>
                      <a:noFill/>
                    </a:ln>
                  </pic:spPr>
                </pic:pic>
              </a:graphicData>
            </a:graphic>
          </wp:anchor>
        </w:drawing>
      </w:r>
    </w:p>
    <w:p w14:paraId="03BB9F78">
      <w:pPr>
        <w:ind w:firstLine="480"/>
      </w:pPr>
    </w:p>
    <w:p w14:paraId="4FE16F99">
      <w:pPr>
        <w:ind w:firstLine="480"/>
      </w:pPr>
      <w:r>
        <w:drawing>
          <wp:anchor distT="0" distB="0" distL="114300" distR="114300" simplePos="0" relativeHeight="251681792" behindDoc="0" locked="0" layoutInCell="1" allowOverlap="1">
            <wp:simplePos x="0" y="0"/>
            <wp:positionH relativeFrom="margin">
              <wp:posOffset>116840</wp:posOffset>
            </wp:positionH>
            <wp:positionV relativeFrom="paragraph">
              <wp:posOffset>6985</wp:posOffset>
            </wp:positionV>
            <wp:extent cx="5759450" cy="8138795"/>
            <wp:effectExtent l="0" t="0" r="0" b="0"/>
            <wp:wrapNone/>
            <wp:docPr id="13679204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0442" name="图片 1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8138795"/>
                    </a:xfrm>
                    <a:prstGeom prst="rect">
                      <a:avLst/>
                    </a:prstGeom>
                  </pic:spPr>
                </pic:pic>
              </a:graphicData>
            </a:graphic>
          </wp:anchor>
        </w:drawing>
      </w:r>
    </w:p>
    <w:p w14:paraId="1683127B">
      <w:pPr>
        <w:ind w:firstLine="480"/>
      </w:pPr>
    </w:p>
    <w:p w14:paraId="3D68C09E">
      <w:pPr>
        <w:ind w:firstLine="480"/>
      </w:pPr>
    </w:p>
    <w:p w14:paraId="76B22F42">
      <w:pPr>
        <w:ind w:firstLine="480"/>
      </w:pPr>
    </w:p>
    <w:p w14:paraId="2CCBEA38">
      <w:pPr>
        <w:ind w:firstLine="480"/>
      </w:pPr>
    </w:p>
    <w:p w14:paraId="25E527E8">
      <w:pPr>
        <w:ind w:firstLine="480"/>
      </w:pPr>
    </w:p>
    <w:p w14:paraId="6338C6A5">
      <w:pPr>
        <w:ind w:firstLine="480"/>
      </w:pPr>
    </w:p>
    <w:p w14:paraId="1429A034">
      <w:pPr>
        <w:ind w:firstLine="480"/>
      </w:pPr>
    </w:p>
    <w:p w14:paraId="1BF3B2D3">
      <w:pPr>
        <w:ind w:firstLine="480"/>
      </w:pPr>
    </w:p>
    <w:p w14:paraId="6F200A83">
      <w:pPr>
        <w:ind w:firstLine="480"/>
      </w:pPr>
    </w:p>
    <w:p w14:paraId="3B4036D5">
      <w:pPr>
        <w:ind w:firstLine="480"/>
      </w:pPr>
    </w:p>
    <w:p w14:paraId="29844AF1">
      <w:pPr>
        <w:ind w:firstLine="480"/>
      </w:pPr>
    </w:p>
    <w:p w14:paraId="533BD6EB">
      <w:pPr>
        <w:ind w:firstLine="480"/>
      </w:pPr>
    </w:p>
    <w:p w14:paraId="39B0C745">
      <w:pPr>
        <w:ind w:firstLine="480"/>
      </w:pPr>
    </w:p>
    <w:p w14:paraId="4DD969FF">
      <w:pPr>
        <w:ind w:firstLine="480"/>
      </w:pPr>
    </w:p>
    <w:p w14:paraId="28C443DD">
      <w:pPr>
        <w:ind w:firstLine="480"/>
      </w:pPr>
    </w:p>
    <w:p w14:paraId="0C6C422A">
      <w:pPr>
        <w:ind w:firstLine="480"/>
      </w:pPr>
    </w:p>
    <w:p w14:paraId="303306AC">
      <w:pPr>
        <w:ind w:firstLine="480"/>
      </w:pPr>
    </w:p>
    <w:p w14:paraId="3093BDEA">
      <w:pPr>
        <w:ind w:firstLine="480"/>
      </w:pPr>
    </w:p>
    <w:p w14:paraId="2EE99426">
      <w:pPr>
        <w:ind w:firstLine="480"/>
      </w:pPr>
    </w:p>
    <w:p w14:paraId="51E53CFC">
      <w:pPr>
        <w:ind w:firstLine="480"/>
      </w:pPr>
    </w:p>
    <w:p w14:paraId="62617ED0">
      <w:pPr>
        <w:ind w:firstLine="480"/>
      </w:pPr>
    </w:p>
    <w:p w14:paraId="514AE7A6">
      <w:pPr>
        <w:ind w:firstLine="480"/>
      </w:pPr>
    </w:p>
    <w:p w14:paraId="41A5AF56">
      <w:pPr>
        <w:ind w:firstLine="480"/>
      </w:pPr>
    </w:p>
    <w:p w14:paraId="0C443C87">
      <w:pPr>
        <w:ind w:firstLine="480"/>
      </w:pPr>
    </w:p>
    <w:p w14:paraId="30D2C90E">
      <w:pPr>
        <w:ind w:firstLine="480"/>
      </w:pPr>
    </w:p>
    <w:p w14:paraId="2177F8E7">
      <w:pPr>
        <w:ind w:firstLine="480"/>
      </w:pPr>
    </w:p>
    <w:p w14:paraId="12946F17">
      <w:pPr>
        <w:ind w:firstLine="480"/>
      </w:pPr>
    </w:p>
    <w:p w14:paraId="63768F88">
      <w:pPr>
        <w:ind w:firstLine="480"/>
      </w:pPr>
    </w:p>
    <w:p w14:paraId="566D4DDD">
      <w:pPr>
        <w:ind w:firstLine="480"/>
      </w:pPr>
    </w:p>
    <w:p w14:paraId="3A5101FC">
      <w:pPr>
        <w:ind w:firstLine="480"/>
      </w:pPr>
    </w:p>
    <w:p w14:paraId="50C5ED33">
      <w:pPr>
        <w:ind w:firstLine="480"/>
      </w:pPr>
    </w:p>
    <w:p w14:paraId="54299066">
      <w:pPr>
        <w:ind w:firstLine="480"/>
      </w:pPr>
    </w:p>
    <w:p w14:paraId="59956ED9">
      <w:pPr>
        <w:ind w:firstLine="480"/>
      </w:pPr>
      <w:r>
        <w:drawing>
          <wp:anchor distT="0" distB="0" distL="114300" distR="114300" simplePos="0" relativeHeight="251682816" behindDoc="0" locked="0" layoutInCell="1" allowOverlap="1">
            <wp:simplePos x="0" y="0"/>
            <wp:positionH relativeFrom="column">
              <wp:posOffset>78105</wp:posOffset>
            </wp:positionH>
            <wp:positionV relativeFrom="paragraph">
              <wp:posOffset>6985</wp:posOffset>
            </wp:positionV>
            <wp:extent cx="5759450" cy="8138795"/>
            <wp:effectExtent l="0" t="0" r="0" b="0"/>
            <wp:wrapNone/>
            <wp:docPr id="4044941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122" name="图片 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9450" cy="8138795"/>
                    </a:xfrm>
                    <a:prstGeom prst="rect">
                      <a:avLst/>
                    </a:prstGeom>
                  </pic:spPr>
                </pic:pic>
              </a:graphicData>
            </a:graphic>
          </wp:anchor>
        </w:drawing>
      </w:r>
    </w:p>
    <w:p w14:paraId="54CA53D9">
      <w:pPr>
        <w:ind w:firstLine="480"/>
      </w:pPr>
    </w:p>
    <w:p w14:paraId="70FF7D93">
      <w:pPr>
        <w:ind w:firstLine="480"/>
      </w:pPr>
    </w:p>
    <w:p w14:paraId="14817720">
      <w:pPr>
        <w:ind w:firstLine="480"/>
      </w:pPr>
    </w:p>
    <w:p w14:paraId="45C3D0E1">
      <w:pPr>
        <w:ind w:firstLine="480"/>
      </w:pPr>
    </w:p>
    <w:p w14:paraId="043121CE">
      <w:pPr>
        <w:ind w:firstLine="480"/>
      </w:pPr>
    </w:p>
    <w:p w14:paraId="6BEA9C0C">
      <w:pPr>
        <w:ind w:firstLine="480"/>
      </w:pPr>
    </w:p>
    <w:p w14:paraId="22716BC0">
      <w:pPr>
        <w:ind w:firstLine="480"/>
      </w:pPr>
    </w:p>
    <w:p w14:paraId="743F7419">
      <w:pPr>
        <w:ind w:firstLine="480"/>
      </w:pPr>
    </w:p>
    <w:p w14:paraId="4155CAA2">
      <w:pPr>
        <w:ind w:firstLine="480"/>
      </w:pPr>
    </w:p>
    <w:p w14:paraId="134B83E4">
      <w:pPr>
        <w:ind w:firstLine="480"/>
      </w:pPr>
    </w:p>
    <w:p w14:paraId="530F8FE7">
      <w:pPr>
        <w:ind w:firstLine="480"/>
      </w:pPr>
    </w:p>
    <w:p w14:paraId="1710751A">
      <w:pPr>
        <w:ind w:firstLine="480"/>
      </w:pPr>
    </w:p>
    <w:p w14:paraId="6D69144D">
      <w:pPr>
        <w:ind w:firstLine="480"/>
      </w:pPr>
    </w:p>
    <w:p w14:paraId="733CAE1A">
      <w:pPr>
        <w:ind w:firstLine="480"/>
      </w:pPr>
    </w:p>
    <w:p w14:paraId="79F01D71">
      <w:pPr>
        <w:ind w:firstLine="480"/>
      </w:pPr>
    </w:p>
    <w:p w14:paraId="0BA67DF3">
      <w:pPr>
        <w:ind w:firstLine="480"/>
      </w:pPr>
    </w:p>
    <w:p w14:paraId="0D3A9D89">
      <w:pPr>
        <w:ind w:firstLine="480"/>
      </w:pPr>
    </w:p>
    <w:p w14:paraId="1CBA4479">
      <w:pPr>
        <w:ind w:firstLine="480"/>
      </w:pPr>
    </w:p>
    <w:p w14:paraId="30E1962C">
      <w:pPr>
        <w:ind w:firstLine="480"/>
      </w:pPr>
    </w:p>
    <w:p w14:paraId="594AE302">
      <w:pPr>
        <w:ind w:firstLine="480"/>
      </w:pPr>
    </w:p>
    <w:p w14:paraId="28F3B971">
      <w:pPr>
        <w:ind w:firstLine="480"/>
      </w:pPr>
    </w:p>
    <w:p w14:paraId="291DE53D">
      <w:pPr>
        <w:ind w:firstLine="480"/>
      </w:pPr>
    </w:p>
    <w:p w14:paraId="7AF0300B">
      <w:pPr>
        <w:ind w:firstLine="480"/>
      </w:pPr>
    </w:p>
    <w:p w14:paraId="6B7022DC">
      <w:pPr>
        <w:ind w:firstLine="480"/>
      </w:pPr>
    </w:p>
    <w:p w14:paraId="47F63E58">
      <w:pPr>
        <w:ind w:firstLine="480"/>
      </w:pPr>
    </w:p>
    <w:p w14:paraId="4CC28983">
      <w:pPr>
        <w:ind w:firstLine="480"/>
      </w:pPr>
    </w:p>
    <w:p w14:paraId="5E2254BC">
      <w:pPr>
        <w:ind w:firstLine="480"/>
      </w:pPr>
    </w:p>
    <w:p w14:paraId="66198A95">
      <w:pPr>
        <w:ind w:firstLine="480"/>
      </w:pPr>
    </w:p>
    <w:p w14:paraId="7CE6719B">
      <w:pPr>
        <w:ind w:firstLine="480"/>
      </w:pPr>
    </w:p>
    <w:p w14:paraId="2FA154B3">
      <w:pPr>
        <w:ind w:firstLine="480"/>
      </w:pPr>
    </w:p>
    <w:p w14:paraId="5B3B2793">
      <w:pPr>
        <w:ind w:firstLine="480"/>
      </w:pPr>
    </w:p>
    <w:p w14:paraId="076A165C">
      <w:pPr>
        <w:ind w:firstLine="480"/>
      </w:pPr>
      <w:r>
        <w:drawing>
          <wp:anchor distT="0" distB="0" distL="114300" distR="114300" simplePos="0" relativeHeight="251683840" behindDoc="0" locked="0" layoutInCell="1" allowOverlap="1">
            <wp:simplePos x="0" y="0"/>
            <wp:positionH relativeFrom="column">
              <wp:posOffset>48260</wp:posOffset>
            </wp:positionH>
            <wp:positionV relativeFrom="paragraph">
              <wp:posOffset>106680</wp:posOffset>
            </wp:positionV>
            <wp:extent cx="5759450" cy="8138795"/>
            <wp:effectExtent l="0" t="0" r="0" b="0"/>
            <wp:wrapNone/>
            <wp:docPr id="6069996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9623" name="图片 1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450" cy="8138795"/>
                    </a:xfrm>
                    <a:prstGeom prst="rect">
                      <a:avLst/>
                    </a:prstGeom>
                  </pic:spPr>
                </pic:pic>
              </a:graphicData>
            </a:graphic>
          </wp:anchor>
        </w:drawing>
      </w:r>
    </w:p>
    <w:p w14:paraId="0BE886BD">
      <w:pPr>
        <w:ind w:firstLine="480"/>
      </w:pPr>
    </w:p>
    <w:p w14:paraId="7285C6CA">
      <w:pPr>
        <w:ind w:firstLine="480"/>
      </w:pPr>
    </w:p>
    <w:p w14:paraId="11283430">
      <w:pPr>
        <w:ind w:firstLine="480"/>
      </w:pPr>
    </w:p>
    <w:p w14:paraId="4E66D234">
      <w:pPr>
        <w:ind w:firstLine="480"/>
      </w:pPr>
    </w:p>
    <w:p w14:paraId="599AFAA4">
      <w:pPr>
        <w:ind w:firstLine="480"/>
      </w:pPr>
    </w:p>
    <w:p w14:paraId="298E590B">
      <w:pPr>
        <w:ind w:firstLine="480"/>
      </w:pPr>
    </w:p>
    <w:p w14:paraId="54FAD150">
      <w:pPr>
        <w:ind w:firstLine="480"/>
      </w:pPr>
    </w:p>
    <w:p w14:paraId="353CCD7E">
      <w:pPr>
        <w:ind w:firstLine="480"/>
      </w:pPr>
    </w:p>
    <w:p w14:paraId="78A43608">
      <w:pPr>
        <w:ind w:firstLine="480"/>
      </w:pPr>
    </w:p>
    <w:p w14:paraId="4EB9DA40">
      <w:pPr>
        <w:ind w:firstLine="480"/>
      </w:pPr>
    </w:p>
    <w:p w14:paraId="4AF6A124">
      <w:pPr>
        <w:ind w:firstLine="480"/>
      </w:pPr>
    </w:p>
    <w:p w14:paraId="7290BE63">
      <w:pPr>
        <w:ind w:firstLine="480"/>
      </w:pPr>
    </w:p>
    <w:p w14:paraId="35E4D3C7">
      <w:pPr>
        <w:ind w:firstLine="480"/>
      </w:pPr>
    </w:p>
    <w:p w14:paraId="269D3DDB">
      <w:pPr>
        <w:ind w:firstLine="480"/>
      </w:pPr>
    </w:p>
    <w:p w14:paraId="795AB5C0">
      <w:pPr>
        <w:ind w:firstLine="480"/>
      </w:pPr>
    </w:p>
    <w:p w14:paraId="27FB739F">
      <w:pPr>
        <w:ind w:firstLine="480"/>
      </w:pPr>
    </w:p>
    <w:p w14:paraId="748F71C0">
      <w:pPr>
        <w:ind w:firstLine="480"/>
      </w:pPr>
    </w:p>
    <w:p w14:paraId="3E0BCE88">
      <w:pPr>
        <w:ind w:firstLine="480"/>
      </w:pPr>
    </w:p>
    <w:p w14:paraId="65FF13F1">
      <w:pPr>
        <w:ind w:firstLine="480"/>
      </w:pPr>
    </w:p>
    <w:p w14:paraId="05ACEAE8">
      <w:pPr>
        <w:ind w:firstLine="480"/>
      </w:pPr>
    </w:p>
    <w:p w14:paraId="55BC7E67">
      <w:pPr>
        <w:ind w:firstLine="480"/>
      </w:pPr>
    </w:p>
    <w:p w14:paraId="3B4A1121">
      <w:pPr>
        <w:ind w:firstLine="480"/>
      </w:pPr>
    </w:p>
    <w:p w14:paraId="2380056B">
      <w:pPr>
        <w:ind w:firstLine="0" w:firstLineChars="0"/>
      </w:pPr>
    </w:p>
    <w:p w14:paraId="015C98F7">
      <w:pPr>
        <w:ind w:firstLine="480"/>
      </w:pPr>
    </w:p>
    <w:p w14:paraId="5864ECF5">
      <w:pPr>
        <w:pStyle w:val="59"/>
        <w:numPr>
          <w:ilvl w:val="0"/>
          <w:numId w:val="0"/>
        </w:numPr>
      </w:pPr>
    </w:p>
    <w:p w14:paraId="32E359CF">
      <w:pPr>
        <w:pStyle w:val="59"/>
        <w:numPr>
          <w:ilvl w:val="0"/>
          <w:numId w:val="0"/>
        </w:numPr>
      </w:pPr>
    </w:p>
    <w:p w14:paraId="56F9213B">
      <w:pPr>
        <w:pStyle w:val="59"/>
        <w:numPr>
          <w:ilvl w:val="0"/>
          <w:numId w:val="0"/>
        </w:numPr>
      </w:pPr>
    </w:p>
    <w:p w14:paraId="2E7CB5C4">
      <w:pPr>
        <w:pStyle w:val="59"/>
        <w:numPr>
          <w:ilvl w:val="0"/>
          <w:numId w:val="0"/>
        </w:numPr>
      </w:pPr>
    </w:p>
    <w:p w14:paraId="0155F82C">
      <w:pPr>
        <w:pStyle w:val="59"/>
        <w:numPr>
          <w:ilvl w:val="0"/>
          <w:numId w:val="0"/>
        </w:numPr>
      </w:pPr>
    </w:p>
    <w:p w14:paraId="5A1E6CE6">
      <w:pPr>
        <w:pStyle w:val="59"/>
        <w:numPr>
          <w:ilvl w:val="0"/>
          <w:numId w:val="0"/>
        </w:numPr>
      </w:pPr>
    </w:p>
    <w:p w14:paraId="5C44A73E">
      <w:pPr>
        <w:ind w:firstLine="480"/>
      </w:pPr>
    </w:p>
    <w:p w14:paraId="50D0EC36">
      <w:pPr>
        <w:ind w:firstLine="480"/>
      </w:pPr>
    </w:p>
    <w:p w14:paraId="317862E0">
      <w:pPr>
        <w:ind w:firstLine="480"/>
        <w:rPr>
          <w:rFonts w:hint="eastAsia"/>
        </w:rPr>
      </w:pPr>
    </w:p>
    <w:sectPr>
      <w:headerReference r:id="rId10" w:type="first"/>
      <w:footerReference r:id="rId13" w:type="first"/>
      <w:headerReference r:id="rId8" w:type="default"/>
      <w:footerReference r:id="rId11" w:type="default"/>
      <w:headerReference r:id="rId9" w:type="even"/>
      <w:footerReference r:id="rId12" w:type="even"/>
      <w:pgSz w:w="11906" w:h="16838"/>
      <w:pgMar w:top="1985" w:right="1418" w:bottom="1418" w:left="1418" w:header="1417" w:footer="1134"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华文细黑">
    <w:altName w:val="微软雅黑"/>
    <w:panose1 w:val="02010600040101010101"/>
    <w:charset w:val="86"/>
    <w:family w:val="auto"/>
    <w:pitch w:val="default"/>
    <w:sig w:usb0="00000000" w:usb1="00000000" w:usb2="00000010" w:usb3="00000000" w:csb0="000400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321084"/>
    </w:sdtPr>
    <w:sdtContent>
      <w:p w14:paraId="4154A5EB">
        <w:pPr>
          <w:pStyle w:val="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5695">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317A1">
    <w:pPr>
      <w:pStyle w:val="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CE79C">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71BF7">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28221">
    <w:pPr>
      <w:pStyle w:val="6"/>
      <w:ind w:firstLine="420"/>
      <w:rPr>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5AD53">
    <w:pPr>
      <w:pStyle w:val="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B32B2">
    <w:pPr>
      <w:pStyle w:val="6"/>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88F12">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C65AC1"/>
    <w:multiLevelType w:val="multilevel"/>
    <w:tmpl w:val="51C65AC1"/>
    <w:lvl w:ilvl="0" w:tentative="0">
      <w:start w:val="1"/>
      <w:numFmt w:val="chineseCountingThousand"/>
      <w:pStyle w:val="2"/>
      <w:suff w:val="nothing"/>
      <w:lvlText w:val="第%1章"/>
      <w:lvlJc w:val="center"/>
      <w:pPr>
        <w:ind w:left="0" w:firstLine="0"/>
      </w:pPr>
      <w:rPr>
        <w:rFonts w:hint="eastAsia"/>
      </w:rPr>
    </w:lvl>
    <w:lvl w:ilvl="1" w:tentative="0">
      <w:start w:val="1"/>
      <w:numFmt w:val="decimal"/>
      <w:pStyle w:val="43"/>
      <w:isLgl/>
      <w:suff w:val="nothing"/>
      <w:lvlText w:val="%1.%2"/>
      <w:lvlJc w:val="left"/>
      <w:pPr>
        <w:ind w:left="0" w:firstLine="0"/>
      </w:pPr>
      <w:rPr>
        <w:rFonts w:hint="eastAsia"/>
      </w:rPr>
    </w:lvl>
    <w:lvl w:ilvl="2" w:tentative="0">
      <w:start w:val="1"/>
      <w:numFmt w:val="decimal"/>
      <w:pStyle w:val="44"/>
      <w:isLgl/>
      <w:suff w:val="nothing"/>
      <w:lvlText w:val="%1.%2.%3"/>
      <w:lvlJc w:val="left"/>
      <w:pPr>
        <w:ind w:left="0" w:firstLine="0"/>
      </w:pPr>
      <w:rPr>
        <w:rFonts w:hint="eastAsia"/>
      </w:rPr>
    </w:lvl>
    <w:lvl w:ilvl="3" w:tentative="0">
      <w:start w:val="1"/>
      <w:numFmt w:val="decimal"/>
      <w:lvlRestart w:val="0"/>
      <w:pStyle w:val="59"/>
      <w:lvlText w:val="[%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upperLetter"/>
      <w:lvlRestart w:val="0"/>
      <w:pStyle w:val="71"/>
      <w:suff w:val="nothing"/>
      <w:lvlText w:val="附录 %7"/>
      <w:lvlJc w:val="center"/>
      <w:pPr>
        <w:ind w:left="0" w:firstLine="0"/>
      </w:pPr>
      <w:rPr>
        <w:rFonts w:hint="eastAsia"/>
      </w:rPr>
    </w:lvl>
    <w:lvl w:ilvl="7" w:tentative="0">
      <w:start w:val="1"/>
      <w:numFmt w:val="decimal"/>
      <w:lvlRestart w:val="1"/>
      <w:isLgl/>
      <w:suff w:val="nothing"/>
      <w:lvlText w:val="(%1.%8)"/>
      <w:lvlJc w:val="right"/>
      <w:pPr>
        <w:ind w:left="0" w:firstLine="0"/>
      </w:pPr>
      <w:rPr>
        <w:rFonts w:hint="eastAsia"/>
      </w:rPr>
    </w:lvl>
    <w:lvl w:ilvl="8" w:tentative="0">
      <w:start w:val="1"/>
      <w:numFmt w:val="decimal"/>
      <w:lvlText w:val="%1.%2.%3.%4.%5.%6.%7.%8.%9"/>
      <w:lvlJc w:val="left"/>
      <w:pPr>
        <w:ind w:left="5102" w:hanging="1700"/>
      </w:pPr>
      <w:rPr>
        <w:rFonts w:hint="eastAsia"/>
      </w:rPr>
    </w:lvl>
  </w:abstractNum>
  <w:abstractNum w:abstractNumId="1">
    <w:nsid w:val="57E832FC"/>
    <w:multiLevelType w:val="multilevel"/>
    <w:tmpl w:val="57E832F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attachedTemplate r:id="rId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E54"/>
    <w:rsid w:val="00000846"/>
    <w:rsid w:val="000014C9"/>
    <w:rsid w:val="000018D1"/>
    <w:rsid w:val="00001CEC"/>
    <w:rsid w:val="0000330D"/>
    <w:rsid w:val="00010480"/>
    <w:rsid w:val="00014200"/>
    <w:rsid w:val="00020AA4"/>
    <w:rsid w:val="00022456"/>
    <w:rsid w:val="0002342A"/>
    <w:rsid w:val="0002476B"/>
    <w:rsid w:val="000247FA"/>
    <w:rsid w:val="00041B7A"/>
    <w:rsid w:val="0004307B"/>
    <w:rsid w:val="00045780"/>
    <w:rsid w:val="00046E0B"/>
    <w:rsid w:val="0004734A"/>
    <w:rsid w:val="000502AD"/>
    <w:rsid w:val="00050AC1"/>
    <w:rsid w:val="000513E6"/>
    <w:rsid w:val="00054D91"/>
    <w:rsid w:val="00060373"/>
    <w:rsid w:val="00064BEE"/>
    <w:rsid w:val="00065577"/>
    <w:rsid w:val="00065F3A"/>
    <w:rsid w:val="0007324F"/>
    <w:rsid w:val="0007459F"/>
    <w:rsid w:val="0007510B"/>
    <w:rsid w:val="000774EC"/>
    <w:rsid w:val="00081C97"/>
    <w:rsid w:val="0008372F"/>
    <w:rsid w:val="00084D66"/>
    <w:rsid w:val="000901CD"/>
    <w:rsid w:val="000A0020"/>
    <w:rsid w:val="000A789A"/>
    <w:rsid w:val="000B4A2C"/>
    <w:rsid w:val="000B777D"/>
    <w:rsid w:val="000C708D"/>
    <w:rsid w:val="000E2022"/>
    <w:rsid w:val="000F3114"/>
    <w:rsid w:val="001022F0"/>
    <w:rsid w:val="00104A0B"/>
    <w:rsid w:val="001056CD"/>
    <w:rsid w:val="001109DD"/>
    <w:rsid w:val="0011108A"/>
    <w:rsid w:val="001141A5"/>
    <w:rsid w:val="00117265"/>
    <w:rsid w:val="00122995"/>
    <w:rsid w:val="00124F84"/>
    <w:rsid w:val="0013217C"/>
    <w:rsid w:val="0013379A"/>
    <w:rsid w:val="00134955"/>
    <w:rsid w:val="001375FF"/>
    <w:rsid w:val="00140EC7"/>
    <w:rsid w:val="00151F0D"/>
    <w:rsid w:val="001540D5"/>
    <w:rsid w:val="00154956"/>
    <w:rsid w:val="0015642A"/>
    <w:rsid w:val="001631D7"/>
    <w:rsid w:val="00163EC0"/>
    <w:rsid w:val="00164395"/>
    <w:rsid w:val="00165EF7"/>
    <w:rsid w:val="00170541"/>
    <w:rsid w:val="0017258A"/>
    <w:rsid w:val="00175E4E"/>
    <w:rsid w:val="001764E0"/>
    <w:rsid w:val="0018232C"/>
    <w:rsid w:val="00182E8F"/>
    <w:rsid w:val="00184DB8"/>
    <w:rsid w:val="001861F6"/>
    <w:rsid w:val="00186E97"/>
    <w:rsid w:val="00197F83"/>
    <w:rsid w:val="001A0965"/>
    <w:rsid w:val="001A145E"/>
    <w:rsid w:val="001A1713"/>
    <w:rsid w:val="001A6F16"/>
    <w:rsid w:val="001B53FB"/>
    <w:rsid w:val="001C6AD2"/>
    <w:rsid w:val="001D68BB"/>
    <w:rsid w:val="001E3559"/>
    <w:rsid w:val="001E3B54"/>
    <w:rsid w:val="001F07D3"/>
    <w:rsid w:val="002036D2"/>
    <w:rsid w:val="002163AB"/>
    <w:rsid w:val="002218CB"/>
    <w:rsid w:val="0022258A"/>
    <w:rsid w:val="00223682"/>
    <w:rsid w:val="00226C9D"/>
    <w:rsid w:val="00230EA6"/>
    <w:rsid w:val="002376C7"/>
    <w:rsid w:val="00242666"/>
    <w:rsid w:val="00242CF6"/>
    <w:rsid w:val="002440BB"/>
    <w:rsid w:val="002440EA"/>
    <w:rsid w:val="00244D0F"/>
    <w:rsid w:val="0025308D"/>
    <w:rsid w:val="00254B0F"/>
    <w:rsid w:val="002563D3"/>
    <w:rsid w:val="0026427C"/>
    <w:rsid w:val="00270A0C"/>
    <w:rsid w:val="002723EC"/>
    <w:rsid w:val="00275980"/>
    <w:rsid w:val="00275F0B"/>
    <w:rsid w:val="00276283"/>
    <w:rsid w:val="00276902"/>
    <w:rsid w:val="00280804"/>
    <w:rsid w:val="002834ED"/>
    <w:rsid w:val="0029139A"/>
    <w:rsid w:val="002A0C85"/>
    <w:rsid w:val="002A32F8"/>
    <w:rsid w:val="002A752B"/>
    <w:rsid w:val="002B24D2"/>
    <w:rsid w:val="002B60BB"/>
    <w:rsid w:val="002B7A38"/>
    <w:rsid w:val="002C4651"/>
    <w:rsid w:val="002C6095"/>
    <w:rsid w:val="002C6DEA"/>
    <w:rsid w:val="002D7FCC"/>
    <w:rsid w:val="002E3B96"/>
    <w:rsid w:val="002E7646"/>
    <w:rsid w:val="002F1ED5"/>
    <w:rsid w:val="002F60B2"/>
    <w:rsid w:val="00304DE5"/>
    <w:rsid w:val="00305118"/>
    <w:rsid w:val="0031106A"/>
    <w:rsid w:val="00312CCD"/>
    <w:rsid w:val="00323093"/>
    <w:rsid w:val="00326579"/>
    <w:rsid w:val="00326A06"/>
    <w:rsid w:val="0033151F"/>
    <w:rsid w:val="0034197F"/>
    <w:rsid w:val="0034227C"/>
    <w:rsid w:val="00342E77"/>
    <w:rsid w:val="0034639C"/>
    <w:rsid w:val="0034641F"/>
    <w:rsid w:val="003566C7"/>
    <w:rsid w:val="00367283"/>
    <w:rsid w:val="00371423"/>
    <w:rsid w:val="0037573F"/>
    <w:rsid w:val="00377444"/>
    <w:rsid w:val="00392B89"/>
    <w:rsid w:val="00394BA3"/>
    <w:rsid w:val="003957DC"/>
    <w:rsid w:val="00395EBA"/>
    <w:rsid w:val="0039604D"/>
    <w:rsid w:val="003A725B"/>
    <w:rsid w:val="003B0A2C"/>
    <w:rsid w:val="003B2847"/>
    <w:rsid w:val="003B39B7"/>
    <w:rsid w:val="003B5B0E"/>
    <w:rsid w:val="003C2591"/>
    <w:rsid w:val="003C4336"/>
    <w:rsid w:val="003C671C"/>
    <w:rsid w:val="003E09CF"/>
    <w:rsid w:val="003E352F"/>
    <w:rsid w:val="003E4517"/>
    <w:rsid w:val="003E6666"/>
    <w:rsid w:val="003F02B4"/>
    <w:rsid w:val="003F3CC0"/>
    <w:rsid w:val="003F4C88"/>
    <w:rsid w:val="004011D8"/>
    <w:rsid w:val="00407545"/>
    <w:rsid w:val="00407A2B"/>
    <w:rsid w:val="00407BA5"/>
    <w:rsid w:val="0041172F"/>
    <w:rsid w:val="00411E7B"/>
    <w:rsid w:val="00412593"/>
    <w:rsid w:val="00413E52"/>
    <w:rsid w:val="0042368B"/>
    <w:rsid w:val="00425E54"/>
    <w:rsid w:val="0042682D"/>
    <w:rsid w:val="0043203E"/>
    <w:rsid w:val="0043514E"/>
    <w:rsid w:val="00440378"/>
    <w:rsid w:val="0044253C"/>
    <w:rsid w:val="00443C88"/>
    <w:rsid w:val="00443DE4"/>
    <w:rsid w:val="00460F63"/>
    <w:rsid w:val="00465ABA"/>
    <w:rsid w:val="004661B2"/>
    <w:rsid w:val="0047030F"/>
    <w:rsid w:val="00470967"/>
    <w:rsid w:val="004737DC"/>
    <w:rsid w:val="00474897"/>
    <w:rsid w:val="004757F3"/>
    <w:rsid w:val="004769DF"/>
    <w:rsid w:val="00480AF5"/>
    <w:rsid w:val="00486577"/>
    <w:rsid w:val="004B09E5"/>
    <w:rsid w:val="004B33B2"/>
    <w:rsid w:val="004B7B17"/>
    <w:rsid w:val="004B7BD4"/>
    <w:rsid w:val="004C4363"/>
    <w:rsid w:val="004C668A"/>
    <w:rsid w:val="004C6C88"/>
    <w:rsid w:val="004D694E"/>
    <w:rsid w:val="004E03FB"/>
    <w:rsid w:val="004E1EA2"/>
    <w:rsid w:val="004E4ED6"/>
    <w:rsid w:val="004E5BDB"/>
    <w:rsid w:val="004E67AD"/>
    <w:rsid w:val="004F24F8"/>
    <w:rsid w:val="004F49B6"/>
    <w:rsid w:val="004F7E63"/>
    <w:rsid w:val="00503750"/>
    <w:rsid w:val="00507A49"/>
    <w:rsid w:val="005120AC"/>
    <w:rsid w:val="00513B8D"/>
    <w:rsid w:val="00513BA4"/>
    <w:rsid w:val="00514DEC"/>
    <w:rsid w:val="00515253"/>
    <w:rsid w:val="0051584F"/>
    <w:rsid w:val="00520698"/>
    <w:rsid w:val="00520CF3"/>
    <w:rsid w:val="00523BE5"/>
    <w:rsid w:val="00523F81"/>
    <w:rsid w:val="00524076"/>
    <w:rsid w:val="00532542"/>
    <w:rsid w:val="00532811"/>
    <w:rsid w:val="00532B89"/>
    <w:rsid w:val="005431C3"/>
    <w:rsid w:val="0054416E"/>
    <w:rsid w:val="00560CE2"/>
    <w:rsid w:val="005624BC"/>
    <w:rsid w:val="00562CB0"/>
    <w:rsid w:val="005631E1"/>
    <w:rsid w:val="005662AA"/>
    <w:rsid w:val="005739F1"/>
    <w:rsid w:val="0057522A"/>
    <w:rsid w:val="0058129B"/>
    <w:rsid w:val="00585A82"/>
    <w:rsid w:val="00585DA7"/>
    <w:rsid w:val="005A4CB8"/>
    <w:rsid w:val="005A7FAA"/>
    <w:rsid w:val="005B11AA"/>
    <w:rsid w:val="005B3702"/>
    <w:rsid w:val="005B37D7"/>
    <w:rsid w:val="005B6174"/>
    <w:rsid w:val="005C0A29"/>
    <w:rsid w:val="005C6E4B"/>
    <w:rsid w:val="005D32E3"/>
    <w:rsid w:val="005F0DAD"/>
    <w:rsid w:val="005F5B8A"/>
    <w:rsid w:val="006067B6"/>
    <w:rsid w:val="0061480D"/>
    <w:rsid w:val="00616041"/>
    <w:rsid w:val="006209D9"/>
    <w:rsid w:val="00622313"/>
    <w:rsid w:val="00626B76"/>
    <w:rsid w:val="00630D54"/>
    <w:rsid w:val="006329D9"/>
    <w:rsid w:val="0063517B"/>
    <w:rsid w:val="00635802"/>
    <w:rsid w:val="00635C98"/>
    <w:rsid w:val="00641461"/>
    <w:rsid w:val="00644B83"/>
    <w:rsid w:val="00651E27"/>
    <w:rsid w:val="0065345E"/>
    <w:rsid w:val="00656108"/>
    <w:rsid w:val="00662297"/>
    <w:rsid w:val="00666DC4"/>
    <w:rsid w:val="0067178B"/>
    <w:rsid w:val="0068247A"/>
    <w:rsid w:val="00682E42"/>
    <w:rsid w:val="0068420D"/>
    <w:rsid w:val="006867FC"/>
    <w:rsid w:val="0069329F"/>
    <w:rsid w:val="00694BE6"/>
    <w:rsid w:val="00696D3A"/>
    <w:rsid w:val="006A1A38"/>
    <w:rsid w:val="006A59C8"/>
    <w:rsid w:val="006B76DB"/>
    <w:rsid w:val="006D0ABC"/>
    <w:rsid w:val="006D15E7"/>
    <w:rsid w:val="006D2563"/>
    <w:rsid w:val="006D274D"/>
    <w:rsid w:val="006D759F"/>
    <w:rsid w:val="006E3E4F"/>
    <w:rsid w:val="006F1AE8"/>
    <w:rsid w:val="007050E2"/>
    <w:rsid w:val="007051A1"/>
    <w:rsid w:val="0071222D"/>
    <w:rsid w:val="007127E8"/>
    <w:rsid w:val="00714CE4"/>
    <w:rsid w:val="00716658"/>
    <w:rsid w:val="007167E3"/>
    <w:rsid w:val="00721760"/>
    <w:rsid w:val="00725276"/>
    <w:rsid w:val="00731402"/>
    <w:rsid w:val="00731B79"/>
    <w:rsid w:val="007370FF"/>
    <w:rsid w:val="00744976"/>
    <w:rsid w:val="00754594"/>
    <w:rsid w:val="00755FDC"/>
    <w:rsid w:val="0077433D"/>
    <w:rsid w:val="00774D37"/>
    <w:rsid w:val="00775824"/>
    <w:rsid w:val="00775903"/>
    <w:rsid w:val="00775F30"/>
    <w:rsid w:val="007860DF"/>
    <w:rsid w:val="00790287"/>
    <w:rsid w:val="00790B08"/>
    <w:rsid w:val="00790CE6"/>
    <w:rsid w:val="00791424"/>
    <w:rsid w:val="00792827"/>
    <w:rsid w:val="00792C83"/>
    <w:rsid w:val="0079390D"/>
    <w:rsid w:val="0079536B"/>
    <w:rsid w:val="007A2526"/>
    <w:rsid w:val="007B0B28"/>
    <w:rsid w:val="007B59FD"/>
    <w:rsid w:val="007B751C"/>
    <w:rsid w:val="007C1E49"/>
    <w:rsid w:val="007C22A1"/>
    <w:rsid w:val="007D64E7"/>
    <w:rsid w:val="007D7FE6"/>
    <w:rsid w:val="007E1264"/>
    <w:rsid w:val="007E2968"/>
    <w:rsid w:val="007E371C"/>
    <w:rsid w:val="007E48FB"/>
    <w:rsid w:val="007E51C5"/>
    <w:rsid w:val="00801E17"/>
    <w:rsid w:val="0080587F"/>
    <w:rsid w:val="00810177"/>
    <w:rsid w:val="00812BE4"/>
    <w:rsid w:val="00812EF6"/>
    <w:rsid w:val="00814044"/>
    <w:rsid w:val="00821A39"/>
    <w:rsid w:val="0082297B"/>
    <w:rsid w:val="0082348D"/>
    <w:rsid w:val="008242B9"/>
    <w:rsid w:val="00826FF8"/>
    <w:rsid w:val="00827C95"/>
    <w:rsid w:val="008347A1"/>
    <w:rsid w:val="008361DD"/>
    <w:rsid w:val="0084339C"/>
    <w:rsid w:val="008454BB"/>
    <w:rsid w:val="00846A53"/>
    <w:rsid w:val="00850661"/>
    <w:rsid w:val="00851425"/>
    <w:rsid w:val="00860DF9"/>
    <w:rsid w:val="008622AB"/>
    <w:rsid w:val="0086632F"/>
    <w:rsid w:val="0087195E"/>
    <w:rsid w:val="00873FE7"/>
    <w:rsid w:val="00874DFF"/>
    <w:rsid w:val="008767A8"/>
    <w:rsid w:val="00876B63"/>
    <w:rsid w:val="00877CC0"/>
    <w:rsid w:val="00881613"/>
    <w:rsid w:val="00885104"/>
    <w:rsid w:val="00885356"/>
    <w:rsid w:val="00886C23"/>
    <w:rsid w:val="0089246B"/>
    <w:rsid w:val="00894B85"/>
    <w:rsid w:val="0089545D"/>
    <w:rsid w:val="008966D6"/>
    <w:rsid w:val="008A29D1"/>
    <w:rsid w:val="008A3E92"/>
    <w:rsid w:val="008A76EE"/>
    <w:rsid w:val="008A7CFF"/>
    <w:rsid w:val="008B3241"/>
    <w:rsid w:val="008B3C9F"/>
    <w:rsid w:val="008B757C"/>
    <w:rsid w:val="008C3B57"/>
    <w:rsid w:val="008D1949"/>
    <w:rsid w:val="008E381D"/>
    <w:rsid w:val="008E506C"/>
    <w:rsid w:val="008F53C8"/>
    <w:rsid w:val="0090415A"/>
    <w:rsid w:val="0090472F"/>
    <w:rsid w:val="00910201"/>
    <w:rsid w:val="009104FF"/>
    <w:rsid w:val="00913CFB"/>
    <w:rsid w:val="00922430"/>
    <w:rsid w:val="009259AD"/>
    <w:rsid w:val="00925E4B"/>
    <w:rsid w:val="00933259"/>
    <w:rsid w:val="009439A7"/>
    <w:rsid w:val="009447E2"/>
    <w:rsid w:val="009448A9"/>
    <w:rsid w:val="00945477"/>
    <w:rsid w:val="009474A0"/>
    <w:rsid w:val="0095617F"/>
    <w:rsid w:val="009620D6"/>
    <w:rsid w:val="00964925"/>
    <w:rsid w:val="00964BC4"/>
    <w:rsid w:val="00966EA1"/>
    <w:rsid w:val="009677AE"/>
    <w:rsid w:val="00973A8C"/>
    <w:rsid w:val="0097503F"/>
    <w:rsid w:val="0098418F"/>
    <w:rsid w:val="0098580C"/>
    <w:rsid w:val="00985F1A"/>
    <w:rsid w:val="009924D3"/>
    <w:rsid w:val="0099515E"/>
    <w:rsid w:val="009953A4"/>
    <w:rsid w:val="00997226"/>
    <w:rsid w:val="009A00F1"/>
    <w:rsid w:val="009A7413"/>
    <w:rsid w:val="009B2CB2"/>
    <w:rsid w:val="009B3379"/>
    <w:rsid w:val="009B3ACB"/>
    <w:rsid w:val="009B4200"/>
    <w:rsid w:val="009B7C96"/>
    <w:rsid w:val="009C0BD9"/>
    <w:rsid w:val="009C1FA0"/>
    <w:rsid w:val="009C4B2C"/>
    <w:rsid w:val="009C6E9F"/>
    <w:rsid w:val="009C7353"/>
    <w:rsid w:val="009C7523"/>
    <w:rsid w:val="009D032E"/>
    <w:rsid w:val="009D19BF"/>
    <w:rsid w:val="009D4753"/>
    <w:rsid w:val="009F2124"/>
    <w:rsid w:val="009F5298"/>
    <w:rsid w:val="00A0659E"/>
    <w:rsid w:val="00A10A0B"/>
    <w:rsid w:val="00A10E80"/>
    <w:rsid w:val="00A139EC"/>
    <w:rsid w:val="00A17A5A"/>
    <w:rsid w:val="00A217DD"/>
    <w:rsid w:val="00A2219E"/>
    <w:rsid w:val="00A222B4"/>
    <w:rsid w:val="00A22E7C"/>
    <w:rsid w:val="00A259EC"/>
    <w:rsid w:val="00A260A4"/>
    <w:rsid w:val="00A314DD"/>
    <w:rsid w:val="00A31A53"/>
    <w:rsid w:val="00A3222C"/>
    <w:rsid w:val="00A3262F"/>
    <w:rsid w:val="00A4046A"/>
    <w:rsid w:val="00A422D6"/>
    <w:rsid w:val="00A44DEF"/>
    <w:rsid w:val="00A45C8C"/>
    <w:rsid w:val="00A507E5"/>
    <w:rsid w:val="00A508B4"/>
    <w:rsid w:val="00A65B15"/>
    <w:rsid w:val="00A663C7"/>
    <w:rsid w:val="00A715BD"/>
    <w:rsid w:val="00A72772"/>
    <w:rsid w:val="00A7281F"/>
    <w:rsid w:val="00A73D9F"/>
    <w:rsid w:val="00A81042"/>
    <w:rsid w:val="00A8512E"/>
    <w:rsid w:val="00A93B4B"/>
    <w:rsid w:val="00A96E2A"/>
    <w:rsid w:val="00AA0BCE"/>
    <w:rsid w:val="00AA3F9F"/>
    <w:rsid w:val="00AA6882"/>
    <w:rsid w:val="00AB5916"/>
    <w:rsid w:val="00AC399F"/>
    <w:rsid w:val="00AD15E2"/>
    <w:rsid w:val="00AD3185"/>
    <w:rsid w:val="00AD3AA9"/>
    <w:rsid w:val="00AD7AF6"/>
    <w:rsid w:val="00AE1F58"/>
    <w:rsid w:val="00AE606E"/>
    <w:rsid w:val="00AE66F2"/>
    <w:rsid w:val="00AF130A"/>
    <w:rsid w:val="00AF31DE"/>
    <w:rsid w:val="00AF6F2E"/>
    <w:rsid w:val="00B02B31"/>
    <w:rsid w:val="00B0313F"/>
    <w:rsid w:val="00B0474D"/>
    <w:rsid w:val="00B052B1"/>
    <w:rsid w:val="00B13569"/>
    <w:rsid w:val="00B13857"/>
    <w:rsid w:val="00B16E24"/>
    <w:rsid w:val="00B249A5"/>
    <w:rsid w:val="00B31E4C"/>
    <w:rsid w:val="00B3259F"/>
    <w:rsid w:val="00B3322C"/>
    <w:rsid w:val="00B340BE"/>
    <w:rsid w:val="00B60106"/>
    <w:rsid w:val="00B61073"/>
    <w:rsid w:val="00B622DC"/>
    <w:rsid w:val="00B63A79"/>
    <w:rsid w:val="00B63BE9"/>
    <w:rsid w:val="00B67AD7"/>
    <w:rsid w:val="00B7337C"/>
    <w:rsid w:val="00B9023F"/>
    <w:rsid w:val="00BB07E2"/>
    <w:rsid w:val="00BB0DBF"/>
    <w:rsid w:val="00BB7DB6"/>
    <w:rsid w:val="00BD2F61"/>
    <w:rsid w:val="00BD31E6"/>
    <w:rsid w:val="00BD6329"/>
    <w:rsid w:val="00BE3B81"/>
    <w:rsid w:val="00BF091A"/>
    <w:rsid w:val="00BF204A"/>
    <w:rsid w:val="00BF52F2"/>
    <w:rsid w:val="00C0055A"/>
    <w:rsid w:val="00C03568"/>
    <w:rsid w:val="00C16338"/>
    <w:rsid w:val="00C209D0"/>
    <w:rsid w:val="00C212F3"/>
    <w:rsid w:val="00C34BFF"/>
    <w:rsid w:val="00C35953"/>
    <w:rsid w:val="00C35E9B"/>
    <w:rsid w:val="00C43352"/>
    <w:rsid w:val="00C44EB5"/>
    <w:rsid w:val="00C46250"/>
    <w:rsid w:val="00C50F96"/>
    <w:rsid w:val="00C54280"/>
    <w:rsid w:val="00C571D4"/>
    <w:rsid w:val="00C61F74"/>
    <w:rsid w:val="00C629F8"/>
    <w:rsid w:val="00C63C97"/>
    <w:rsid w:val="00C6688F"/>
    <w:rsid w:val="00C67406"/>
    <w:rsid w:val="00C742BC"/>
    <w:rsid w:val="00C85FE4"/>
    <w:rsid w:val="00C86A40"/>
    <w:rsid w:val="00C873D7"/>
    <w:rsid w:val="00C96DBE"/>
    <w:rsid w:val="00CA19AD"/>
    <w:rsid w:val="00CA1E80"/>
    <w:rsid w:val="00CA6C2A"/>
    <w:rsid w:val="00CA7466"/>
    <w:rsid w:val="00CB4EA9"/>
    <w:rsid w:val="00CB7718"/>
    <w:rsid w:val="00CB779B"/>
    <w:rsid w:val="00CC4275"/>
    <w:rsid w:val="00CC439C"/>
    <w:rsid w:val="00CC5CD4"/>
    <w:rsid w:val="00CD32B3"/>
    <w:rsid w:val="00CD5712"/>
    <w:rsid w:val="00CE4B67"/>
    <w:rsid w:val="00CE5555"/>
    <w:rsid w:val="00CE5719"/>
    <w:rsid w:val="00CE6D8E"/>
    <w:rsid w:val="00CE7917"/>
    <w:rsid w:val="00D01A4A"/>
    <w:rsid w:val="00D06247"/>
    <w:rsid w:val="00D158B2"/>
    <w:rsid w:val="00D22BCD"/>
    <w:rsid w:val="00D23A3E"/>
    <w:rsid w:val="00D25E03"/>
    <w:rsid w:val="00D26126"/>
    <w:rsid w:val="00D273AD"/>
    <w:rsid w:val="00D31441"/>
    <w:rsid w:val="00D31CAC"/>
    <w:rsid w:val="00D36F6F"/>
    <w:rsid w:val="00D37BEB"/>
    <w:rsid w:val="00D40DD7"/>
    <w:rsid w:val="00D4226E"/>
    <w:rsid w:val="00D4464E"/>
    <w:rsid w:val="00D50243"/>
    <w:rsid w:val="00D60C48"/>
    <w:rsid w:val="00D61DAA"/>
    <w:rsid w:val="00D6531D"/>
    <w:rsid w:val="00D65D55"/>
    <w:rsid w:val="00D65E17"/>
    <w:rsid w:val="00D72F72"/>
    <w:rsid w:val="00D83F8B"/>
    <w:rsid w:val="00D850D5"/>
    <w:rsid w:val="00D875D1"/>
    <w:rsid w:val="00D876E8"/>
    <w:rsid w:val="00D87716"/>
    <w:rsid w:val="00D90C3C"/>
    <w:rsid w:val="00D9152D"/>
    <w:rsid w:val="00D926EA"/>
    <w:rsid w:val="00D947C9"/>
    <w:rsid w:val="00D96AFC"/>
    <w:rsid w:val="00D977D6"/>
    <w:rsid w:val="00DA2E79"/>
    <w:rsid w:val="00DA71D3"/>
    <w:rsid w:val="00DB7662"/>
    <w:rsid w:val="00DC6852"/>
    <w:rsid w:val="00DC791E"/>
    <w:rsid w:val="00DD05FD"/>
    <w:rsid w:val="00DD16AF"/>
    <w:rsid w:val="00DE07B9"/>
    <w:rsid w:val="00DE12DF"/>
    <w:rsid w:val="00DE1BE9"/>
    <w:rsid w:val="00DF5407"/>
    <w:rsid w:val="00E00ABF"/>
    <w:rsid w:val="00E02905"/>
    <w:rsid w:val="00E035D3"/>
    <w:rsid w:val="00E03A60"/>
    <w:rsid w:val="00E0451B"/>
    <w:rsid w:val="00E1315C"/>
    <w:rsid w:val="00E16EE6"/>
    <w:rsid w:val="00E17769"/>
    <w:rsid w:val="00E2067E"/>
    <w:rsid w:val="00E2364D"/>
    <w:rsid w:val="00E3350E"/>
    <w:rsid w:val="00E34BFB"/>
    <w:rsid w:val="00E42E0C"/>
    <w:rsid w:val="00E44E79"/>
    <w:rsid w:val="00E44F42"/>
    <w:rsid w:val="00E45264"/>
    <w:rsid w:val="00E4569E"/>
    <w:rsid w:val="00E4693A"/>
    <w:rsid w:val="00E471C4"/>
    <w:rsid w:val="00E51F89"/>
    <w:rsid w:val="00E56E0C"/>
    <w:rsid w:val="00E60267"/>
    <w:rsid w:val="00E60FB6"/>
    <w:rsid w:val="00E645B0"/>
    <w:rsid w:val="00E70603"/>
    <w:rsid w:val="00E7589F"/>
    <w:rsid w:val="00E8369F"/>
    <w:rsid w:val="00E83BA0"/>
    <w:rsid w:val="00E83D4B"/>
    <w:rsid w:val="00E92211"/>
    <w:rsid w:val="00E928B8"/>
    <w:rsid w:val="00EA4F99"/>
    <w:rsid w:val="00EB2DD0"/>
    <w:rsid w:val="00EB59A6"/>
    <w:rsid w:val="00EC3733"/>
    <w:rsid w:val="00EC375A"/>
    <w:rsid w:val="00EC3EB4"/>
    <w:rsid w:val="00ED2B43"/>
    <w:rsid w:val="00ED4624"/>
    <w:rsid w:val="00EF6D27"/>
    <w:rsid w:val="00F076D0"/>
    <w:rsid w:val="00F23072"/>
    <w:rsid w:val="00F278DD"/>
    <w:rsid w:val="00F302F8"/>
    <w:rsid w:val="00F30850"/>
    <w:rsid w:val="00F30B61"/>
    <w:rsid w:val="00F3332F"/>
    <w:rsid w:val="00F33EE8"/>
    <w:rsid w:val="00F34425"/>
    <w:rsid w:val="00F414BD"/>
    <w:rsid w:val="00F420DF"/>
    <w:rsid w:val="00F452A5"/>
    <w:rsid w:val="00F47AD0"/>
    <w:rsid w:val="00F50922"/>
    <w:rsid w:val="00F53493"/>
    <w:rsid w:val="00F63C6B"/>
    <w:rsid w:val="00F63EEE"/>
    <w:rsid w:val="00F6462A"/>
    <w:rsid w:val="00F65F97"/>
    <w:rsid w:val="00F669B7"/>
    <w:rsid w:val="00F704DB"/>
    <w:rsid w:val="00F711B0"/>
    <w:rsid w:val="00F7343A"/>
    <w:rsid w:val="00F7344B"/>
    <w:rsid w:val="00F736AA"/>
    <w:rsid w:val="00F73CB3"/>
    <w:rsid w:val="00F75633"/>
    <w:rsid w:val="00F763EB"/>
    <w:rsid w:val="00F81C18"/>
    <w:rsid w:val="00F875B8"/>
    <w:rsid w:val="00F929ED"/>
    <w:rsid w:val="00F9479A"/>
    <w:rsid w:val="00F95E52"/>
    <w:rsid w:val="00F97385"/>
    <w:rsid w:val="00FA02B4"/>
    <w:rsid w:val="00FA51C0"/>
    <w:rsid w:val="00FA58D4"/>
    <w:rsid w:val="00FC0C0A"/>
    <w:rsid w:val="00FC1618"/>
    <w:rsid w:val="00FC6325"/>
    <w:rsid w:val="00FD3D20"/>
    <w:rsid w:val="00FD5319"/>
    <w:rsid w:val="00FE3532"/>
    <w:rsid w:val="00FE5DF8"/>
    <w:rsid w:val="00FF13E1"/>
    <w:rsid w:val="00FF14F5"/>
    <w:rsid w:val="00FF2B52"/>
    <w:rsid w:val="00FF3679"/>
    <w:rsid w:val="00FF4A30"/>
    <w:rsid w:val="00FF5E32"/>
    <w:rsid w:val="7C986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17"/>
    <w:qFormat/>
    <w:uiPriority w:val="0"/>
    <w:pPr>
      <w:keepNext/>
      <w:keepLines/>
      <w:pageBreakBefore/>
      <w:numPr>
        <w:ilvl w:val="0"/>
        <w:numId w:val="1"/>
      </w:numPr>
      <w:spacing w:before="480" w:after="360" w:line="240" w:lineRule="auto"/>
      <w:ind w:firstLineChars="0"/>
      <w:jc w:val="center"/>
      <w:outlineLvl w:val="0"/>
    </w:pPr>
    <w:rPr>
      <w:rFonts w:ascii="Arial" w:hAnsi="Arial" w:eastAsia="黑体"/>
      <w:b/>
      <w:bCs/>
      <w:sz w:val="32"/>
      <w:szCs w:val="44"/>
    </w:rPr>
  </w:style>
  <w:style w:type="character" w:default="1" w:styleId="12">
    <w:name w:val="Default Paragraph Font"/>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toc 3"/>
    <w:basedOn w:val="1"/>
    <w:next w:val="1"/>
    <w:autoRedefine/>
    <w:unhideWhenUsed/>
    <w:uiPriority w:val="39"/>
    <w:pPr>
      <w:spacing w:before="120" w:line="240" w:lineRule="auto"/>
      <w:ind w:left="400" w:leftChars="400" w:firstLine="0" w:firstLineChars="0"/>
    </w:p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spacing w:before="120" w:line="240" w:lineRule="auto"/>
      <w:ind w:firstLine="0" w:firstLineChars="0"/>
    </w:pPr>
  </w:style>
  <w:style w:type="paragraph" w:styleId="8">
    <w:name w:val="footnote text"/>
    <w:basedOn w:val="1"/>
    <w:link w:val="70"/>
    <w:semiHidden/>
    <w:unhideWhenUsed/>
    <w:uiPriority w:val="99"/>
    <w:pPr>
      <w:snapToGrid w:val="0"/>
      <w:jc w:val="left"/>
    </w:pPr>
    <w:rPr>
      <w:sz w:val="18"/>
      <w:szCs w:val="18"/>
    </w:rPr>
  </w:style>
  <w:style w:type="paragraph" w:styleId="9">
    <w:name w:val="toc 2"/>
    <w:basedOn w:val="1"/>
    <w:next w:val="1"/>
    <w:autoRedefine/>
    <w:unhideWhenUsed/>
    <w:uiPriority w:val="39"/>
    <w:pPr>
      <w:spacing w:before="120" w:line="240" w:lineRule="auto"/>
      <w:ind w:left="200" w:leftChars="200" w:firstLine="0" w:firstLineChars="0"/>
    </w:p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uiPriority w:val="99"/>
    <w:rPr>
      <w:color w:val="0563C1" w:themeColor="hyperlink"/>
      <w:u w:val="single"/>
      <w14:textFill>
        <w14:solidFill>
          <w14:schemeClr w14:val="hlink"/>
        </w14:solidFill>
      </w14:textFill>
    </w:rPr>
  </w:style>
  <w:style w:type="character" w:styleId="14">
    <w:name w:val="footnote reference"/>
    <w:basedOn w:val="12"/>
    <w:semiHidden/>
    <w:unhideWhenUsed/>
    <w:qFormat/>
    <w:uiPriority w:val="99"/>
    <w:rPr>
      <w:vertAlign w:val="superscript"/>
    </w:r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character" w:customStyle="1" w:styleId="17">
    <w:name w:val="标题 1 字符"/>
    <w:basedOn w:val="12"/>
    <w:link w:val="2"/>
    <w:qFormat/>
    <w:uiPriority w:val="0"/>
    <w:rPr>
      <w:rFonts w:ascii="Arial" w:hAnsi="Arial" w:eastAsia="黑体"/>
      <w:b/>
      <w:bCs/>
      <w:sz w:val="32"/>
      <w:szCs w:val="44"/>
    </w:rPr>
  </w:style>
  <w:style w:type="paragraph" w:customStyle="1" w:styleId="18">
    <w:name w:val="封-info1"/>
    <w:basedOn w:val="1"/>
    <w:link w:val="19"/>
    <w:qFormat/>
    <w:uiPriority w:val="2"/>
    <w:pPr>
      <w:spacing w:line="560" w:lineRule="exact"/>
      <w:ind w:firstLine="0" w:firstLineChars="0"/>
      <w:jc w:val="center"/>
    </w:pPr>
    <w:rPr>
      <w:rFonts w:eastAsia="黑体"/>
    </w:rPr>
  </w:style>
  <w:style w:type="character" w:customStyle="1" w:styleId="19">
    <w:name w:val="封-info1 字符"/>
    <w:basedOn w:val="12"/>
    <w:link w:val="18"/>
    <w:uiPriority w:val="2"/>
    <w:rPr>
      <w:rFonts w:ascii="Times New Roman" w:hAnsi="Times New Roman" w:eastAsia="黑体"/>
      <w:sz w:val="24"/>
    </w:rPr>
  </w:style>
  <w:style w:type="character" w:styleId="20">
    <w:name w:val="Placeholder Text"/>
    <w:basedOn w:val="12"/>
    <w:semiHidden/>
    <w:qFormat/>
    <w:uiPriority w:val="99"/>
    <w:rPr>
      <w:color w:val="808080"/>
    </w:rPr>
  </w:style>
  <w:style w:type="character" w:customStyle="1" w:styleId="21">
    <w:name w:val="封-info-加粗"/>
    <w:basedOn w:val="12"/>
    <w:qFormat/>
    <w:uiPriority w:val="1"/>
    <w:rPr>
      <w:rFonts w:ascii="Times New Roman" w:hAnsi="Times New Roman" w:eastAsia="宋体"/>
      <w:b/>
      <w:sz w:val="20"/>
    </w:rPr>
  </w:style>
  <w:style w:type="paragraph" w:customStyle="1" w:styleId="22">
    <w:name w:val="封-info2"/>
    <w:basedOn w:val="1"/>
    <w:next w:val="1"/>
    <w:link w:val="24"/>
    <w:qFormat/>
    <w:uiPriority w:val="2"/>
    <w:pPr>
      <w:spacing w:before="200" w:beforeLines="200" w:line="240" w:lineRule="auto"/>
      <w:ind w:firstLine="0" w:firstLineChars="0"/>
      <w:jc w:val="center"/>
    </w:pPr>
  </w:style>
  <w:style w:type="paragraph" w:customStyle="1" w:styleId="23">
    <w:name w:val="封-info3"/>
    <w:basedOn w:val="1"/>
    <w:next w:val="1"/>
    <w:link w:val="26"/>
    <w:qFormat/>
    <w:uiPriority w:val="2"/>
    <w:pPr>
      <w:spacing w:before="100" w:beforeLines="100" w:after="220" w:line="240" w:lineRule="auto"/>
      <w:ind w:firstLine="0" w:firstLineChars="0"/>
      <w:jc w:val="center"/>
    </w:pPr>
    <w:rPr>
      <w:rFonts w:ascii="Arial" w:hAnsi="Arial" w:eastAsia="黑体"/>
      <w:b/>
      <w:sz w:val="72"/>
    </w:rPr>
  </w:style>
  <w:style w:type="character" w:customStyle="1" w:styleId="24">
    <w:name w:val="封-info2 字符"/>
    <w:basedOn w:val="12"/>
    <w:link w:val="22"/>
    <w:qFormat/>
    <w:uiPriority w:val="2"/>
    <w:rPr>
      <w:rFonts w:ascii="Times New Roman" w:hAnsi="Times New Roman" w:eastAsia="宋体"/>
      <w:sz w:val="24"/>
    </w:rPr>
  </w:style>
  <w:style w:type="paragraph" w:customStyle="1" w:styleId="25">
    <w:name w:val="标题1"/>
    <w:basedOn w:val="1"/>
    <w:next w:val="1"/>
    <w:link w:val="28"/>
    <w:qFormat/>
    <w:uiPriority w:val="2"/>
    <w:pPr>
      <w:spacing w:before="300" w:beforeLines="300" w:line="480" w:lineRule="exact"/>
      <w:ind w:firstLine="0" w:firstLineChars="0"/>
      <w:jc w:val="center"/>
    </w:pPr>
    <w:rPr>
      <w:rFonts w:eastAsia="华文细黑"/>
      <w:b/>
      <w:sz w:val="36"/>
    </w:rPr>
  </w:style>
  <w:style w:type="character" w:customStyle="1" w:styleId="26">
    <w:name w:val="封-info3 字符"/>
    <w:basedOn w:val="12"/>
    <w:link w:val="23"/>
    <w:qFormat/>
    <w:uiPriority w:val="2"/>
    <w:rPr>
      <w:rFonts w:ascii="Arial" w:hAnsi="Arial" w:eastAsia="黑体"/>
      <w:b/>
      <w:sz w:val="72"/>
    </w:rPr>
  </w:style>
  <w:style w:type="paragraph" w:customStyle="1" w:styleId="27">
    <w:name w:val="title*"/>
    <w:basedOn w:val="1"/>
    <w:next w:val="1"/>
    <w:link w:val="30"/>
    <w:qFormat/>
    <w:uiPriority w:val="2"/>
    <w:pPr>
      <w:spacing w:line="440" w:lineRule="exact"/>
      <w:ind w:firstLine="0" w:firstLineChars="0"/>
      <w:jc w:val="center"/>
    </w:pPr>
    <w:rPr>
      <w:b/>
      <w:sz w:val="32"/>
    </w:rPr>
  </w:style>
  <w:style w:type="character" w:customStyle="1" w:styleId="28">
    <w:name w:val="title 字符"/>
    <w:basedOn w:val="12"/>
    <w:link w:val="25"/>
    <w:uiPriority w:val="2"/>
    <w:rPr>
      <w:rFonts w:ascii="Times New Roman" w:hAnsi="Times New Roman" w:eastAsia="华文细黑"/>
      <w:b/>
      <w:sz w:val="36"/>
    </w:rPr>
  </w:style>
  <w:style w:type="paragraph" w:customStyle="1" w:styleId="29">
    <w:name w:val="封-info4"/>
    <w:basedOn w:val="1"/>
    <w:next w:val="1"/>
    <w:link w:val="32"/>
    <w:qFormat/>
    <w:uiPriority w:val="2"/>
    <w:pPr>
      <w:spacing w:line="240" w:lineRule="auto"/>
      <w:ind w:firstLine="0" w:firstLineChars="0"/>
      <w:jc w:val="center"/>
    </w:pPr>
    <w:rPr>
      <w:b/>
      <w:sz w:val="30"/>
    </w:rPr>
  </w:style>
  <w:style w:type="character" w:customStyle="1" w:styleId="30">
    <w:name w:val="title* 字符"/>
    <w:basedOn w:val="12"/>
    <w:link w:val="27"/>
    <w:uiPriority w:val="2"/>
    <w:rPr>
      <w:rFonts w:ascii="Times New Roman" w:hAnsi="Times New Roman" w:eastAsia="宋体"/>
      <w:b/>
      <w:sz w:val="32"/>
    </w:rPr>
  </w:style>
  <w:style w:type="paragraph" w:customStyle="1" w:styleId="31">
    <w:name w:val="封-info5"/>
    <w:basedOn w:val="1"/>
    <w:next w:val="1"/>
    <w:link w:val="34"/>
    <w:qFormat/>
    <w:uiPriority w:val="2"/>
    <w:pPr>
      <w:spacing w:before="200" w:beforeLines="200" w:line="240" w:lineRule="auto"/>
      <w:ind w:firstLine="0" w:firstLineChars="0"/>
      <w:jc w:val="center"/>
    </w:pPr>
    <w:rPr>
      <w:sz w:val="28"/>
    </w:rPr>
  </w:style>
  <w:style w:type="character" w:customStyle="1" w:styleId="32">
    <w:name w:val="封-info4 字符"/>
    <w:basedOn w:val="12"/>
    <w:link w:val="29"/>
    <w:uiPriority w:val="2"/>
    <w:rPr>
      <w:rFonts w:ascii="Times New Roman" w:hAnsi="Times New Roman" w:eastAsia="宋体"/>
      <w:b/>
      <w:sz w:val="30"/>
    </w:rPr>
  </w:style>
  <w:style w:type="paragraph" w:customStyle="1" w:styleId="33">
    <w:name w:val="chapter-1"/>
    <w:basedOn w:val="1"/>
    <w:next w:val="1"/>
    <w:link w:val="36"/>
    <w:qFormat/>
    <w:uiPriority w:val="2"/>
    <w:pPr>
      <w:spacing w:before="100" w:beforeLines="100" w:after="100" w:afterLines="100"/>
      <w:ind w:firstLine="0" w:firstLineChars="0"/>
      <w:jc w:val="center"/>
    </w:pPr>
    <w:rPr>
      <w:sz w:val="32"/>
    </w:rPr>
  </w:style>
  <w:style w:type="character" w:customStyle="1" w:styleId="34">
    <w:name w:val="封-info5 字符"/>
    <w:basedOn w:val="12"/>
    <w:link w:val="31"/>
    <w:uiPriority w:val="2"/>
    <w:rPr>
      <w:rFonts w:ascii="Times New Roman" w:hAnsi="Times New Roman" w:eastAsia="宋体"/>
      <w:sz w:val="28"/>
    </w:rPr>
  </w:style>
  <w:style w:type="paragraph" w:customStyle="1" w:styleId="35">
    <w:name w:val="声明-签名"/>
    <w:basedOn w:val="1"/>
    <w:next w:val="1"/>
    <w:link w:val="37"/>
    <w:qFormat/>
    <w:uiPriority w:val="2"/>
    <w:pPr>
      <w:tabs>
        <w:tab w:val="left" w:pos="480"/>
        <w:tab w:val="left" w:pos="5103"/>
      </w:tabs>
      <w:spacing w:before="200" w:beforeLines="200"/>
      <w:ind w:firstLine="0" w:firstLineChars="0"/>
    </w:pPr>
  </w:style>
  <w:style w:type="character" w:customStyle="1" w:styleId="36">
    <w:name w:val="chapter-1 字符"/>
    <w:basedOn w:val="12"/>
    <w:link w:val="33"/>
    <w:qFormat/>
    <w:uiPriority w:val="2"/>
    <w:rPr>
      <w:rFonts w:ascii="Times New Roman" w:hAnsi="Times New Roman" w:eastAsia="宋体"/>
      <w:sz w:val="32"/>
    </w:rPr>
  </w:style>
  <w:style w:type="character" w:customStyle="1" w:styleId="37">
    <w:name w:val="声明-签名 字符"/>
    <w:basedOn w:val="12"/>
    <w:link w:val="35"/>
    <w:uiPriority w:val="2"/>
    <w:rPr>
      <w:rFonts w:ascii="Times New Roman" w:hAnsi="Times New Roman" w:eastAsia="宋体"/>
      <w:sz w:val="24"/>
    </w:rPr>
  </w:style>
  <w:style w:type="paragraph" w:customStyle="1" w:styleId="38">
    <w:name w:val="chapter*"/>
    <w:basedOn w:val="1"/>
    <w:next w:val="1"/>
    <w:link w:val="40"/>
    <w:qFormat/>
    <w:uiPriority w:val="2"/>
    <w:pPr>
      <w:pageBreakBefore/>
      <w:spacing w:before="480" w:after="360" w:line="240" w:lineRule="auto"/>
      <w:ind w:firstLine="0" w:firstLineChars="0"/>
      <w:jc w:val="center"/>
      <w:outlineLvl w:val="0"/>
    </w:pPr>
    <w:rPr>
      <w:rFonts w:eastAsia="黑体"/>
      <w:b/>
      <w:sz w:val="32"/>
    </w:rPr>
  </w:style>
  <w:style w:type="character" w:customStyle="1" w:styleId="39">
    <w:name w:val="关键词-加粗"/>
    <w:basedOn w:val="12"/>
    <w:qFormat/>
    <w:uiPriority w:val="1"/>
    <w:rPr>
      <w:b/>
    </w:rPr>
  </w:style>
  <w:style w:type="character" w:customStyle="1" w:styleId="40">
    <w:name w:val="chapter* 字符"/>
    <w:basedOn w:val="12"/>
    <w:link w:val="38"/>
    <w:uiPriority w:val="2"/>
    <w:rPr>
      <w:rFonts w:ascii="Times New Roman" w:hAnsi="Times New Roman" w:eastAsia="黑体"/>
      <w:b/>
      <w:sz w:val="32"/>
    </w:rPr>
  </w:style>
  <w:style w:type="paragraph" w:customStyle="1" w:styleId="41">
    <w:name w:val="目录"/>
    <w:basedOn w:val="1"/>
    <w:next w:val="1"/>
    <w:link w:val="42"/>
    <w:qFormat/>
    <w:uiPriority w:val="2"/>
    <w:pPr>
      <w:pageBreakBefore/>
      <w:spacing w:before="480" w:after="360" w:line="240" w:lineRule="auto"/>
      <w:ind w:firstLine="0" w:firstLineChars="0"/>
      <w:jc w:val="center"/>
    </w:pPr>
    <w:rPr>
      <w:rFonts w:eastAsia="黑体"/>
      <w:b/>
      <w:sz w:val="32"/>
    </w:rPr>
  </w:style>
  <w:style w:type="character" w:customStyle="1" w:styleId="42">
    <w:name w:val="目录 字符"/>
    <w:basedOn w:val="12"/>
    <w:link w:val="41"/>
    <w:uiPriority w:val="2"/>
    <w:rPr>
      <w:rFonts w:ascii="Times New Roman" w:hAnsi="Times New Roman" w:eastAsia="黑体"/>
      <w:b/>
      <w:sz w:val="32"/>
    </w:rPr>
  </w:style>
  <w:style w:type="paragraph" w:customStyle="1" w:styleId="43">
    <w:name w:val="section"/>
    <w:basedOn w:val="1"/>
    <w:next w:val="1"/>
    <w:link w:val="45"/>
    <w:qFormat/>
    <w:uiPriority w:val="0"/>
    <w:pPr>
      <w:numPr>
        <w:ilvl w:val="1"/>
        <w:numId w:val="1"/>
      </w:numPr>
      <w:spacing w:before="480" w:after="120" w:line="240" w:lineRule="auto"/>
      <w:ind w:firstLineChars="0"/>
      <w:outlineLvl w:val="1"/>
    </w:pPr>
    <w:rPr>
      <w:rFonts w:ascii="Arial" w:hAnsi="Arial" w:eastAsia="黑体"/>
      <w:b/>
      <w:sz w:val="28"/>
    </w:rPr>
  </w:style>
  <w:style w:type="paragraph" w:customStyle="1" w:styleId="44">
    <w:name w:val="subsection"/>
    <w:basedOn w:val="1"/>
    <w:next w:val="1"/>
    <w:link w:val="46"/>
    <w:qFormat/>
    <w:uiPriority w:val="0"/>
    <w:pPr>
      <w:numPr>
        <w:ilvl w:val="2"/>
        <w:numId w:val="1"/>
      </w:numPr>
      <w:spacing w:before="240" w:after="120" w:line="240" w:lineRule="auto"/>
      <w:ind w:firstLineChars="0"/>
      <w:outlineLvl w:val="2"/>
    </w:pPr>
    <w:rPr>
      <w:rFonts w:ascii="Arial" w:hAnsi="Arial" w:eastAsia="黑体"/>
      <w:sz w:val="28"/>
    </w:rPr>
  </w:style>
  <w:style w:type="character" w:customStyle="1" w:styleId="45">
    <w:name w:val="section 字符"/>
    <w:basedOn w:val="12"/>
    <w:link w:val="43"/>
    <w:uiPriority w:val="0"/>
    <w:rPr>
      <w:rFonts w:ascii="Arial" w:hAnsi="Arial" w:eastAsia="黑体"/>
      <w:b/>
      <w:sz w:val="28"/>
    </w:rPr>
  </w:style>
  <w:style w:type="character" w:customStyle="1" w:styleId="46">
    <w:name w:val="subsection 字符"/>
    <w:basedOn w:val="12"/>
    <w:link w:val="44"/>
    <w:uiPriority w:val="0"/>
    <w:rPr>
      <w:rFonts w:ascii="Arial" w:hAnsi="Arial" w:eastAsia="黑体"/>
      <w:sz w:val="28"/>
    </w:rPr>
  </w:style>
  <w:style w:type="paragraph" w:customStyle="1" w:styleId="47">
    <w:name w:val="图-居中"/>
    <w:basedOn w:val="1"/>
    <w:next w:val="1"/>
    <w:link w:val="49"/>
    <w:qFormat/>
    <w:uiPriority w:val="0"/>
    <w:pPr>
      <w:keepNext/>
      <w:spacing w:line="240" w:lineRule="auto"/>
      <w:ind w:firstLine="0" w:firstLineChars="0"/>
      <w:jc w:val="center"/>
    </w:pPr>
  </w:style>
  <w:style w:type="paragraph" w:customStyle="1" w:styleId="48">
    <w:name w:val="图-caption"/>
    <w:basedOn w:val="1"/>
    <w:next w:val="1"/>
    <w:link w:val="50"/>
    <w:qFormat/>
    <w:uiPriority w:val="0"/>
    <w:pPr>
      <w:spacing w:before="120" w:after="120" w:line="240" w:lineRule="auto"/>
      <w:ind w:firstLine="0" w:firstLineChars="0"/>
      <w:jc w:val="center"/>
    </w:pPr>
    <w:rPr>
      <w:sz w:val="21"/>
    </w:rPr>
  </w:style>
  <w:style w:type="character" w:customStyle="1" w:styleId="49">
    <w:name w:val="图-居中 字符"/>
    <w:basedOn w:val="12"/>
    <w:link w:val="47"/>
    <w:uiPriority w:val="0"/>
    <w:rPr>
      <w:rFonts w:ascii="Times New Roman" w:hAnsi="Times New Roman" w:eastAsia="宋体"/>
      <w:sz w:val="24"/>
    </w:rPr>
  </w:style>
  <w:style w:type="character" w:customStyle="1" w:styleId="50">
    <w:name w:val="图-caption 字符"/>
    <w:basedOn w:val="12"/>
    <w:link w:val="48"/>
    <w:uiPriority w:val="0"/>
    <w:rPr>
      <w:rFonts w:ascii="Times New Roman" w:hAnsi="Times New Roman" w:eastAsia="宋体"/>
    </w:rPr>
  </w:style>
  <w:style w:type="paragraph" w:customStyle="1" w:styleId="51">
    <w:name w:val="表-居中"/>
    <w:basedOn w:val="1"/>
    <w:next w:val="1"/>
    <w:link w:val="53"/>
    <w:qFormat/>
    <w:uiPriority w:val="0"/>
    <w:pPr>
      <w:spacing w:line="300" w:lineRule="auto"/>
      <w:ind w:firstLine="0" w:firstLineChars="0"/>
      <w:jc w:val="center"/>
    </w:pPr>
    <w:rPr>
      <w:sz w:val="21"/>
    </w:rPr>
  </w:style>
  <w:style w:type="table" w:customStyle="1" w:styleId="52">
    <w:name w:val="三线表"/>
    <w:basedOn w:val="10"/>
    <w:qFormat/>
    <w:uiPriority w:val="99"/>
    <w:tblPr>
      <w:tblBorders>
        <w:bottom w:val="single" w:color="auto" w:sz="12" w:space="0"/>
      </w:tblBorders>
    </w:tblPr>
    <w:tblStylePr w:type="firstRow">
      <w:tcPr>
        <w:tcBorders>
          <w:top w:val="single" w:color="auto" w:sz="12" w:space="0"/>
          <w:left w:val="nil"/>
          <w:bottom w:val="single" w:color="auto" w:sz="4" w:space="0"/>
          <w:right w:val="nil"/>
          <w:insideH w:val="nil"/>
          <w:insideV w:val="nil"/>
          <w:tl2br w:val="nil"/>
          <w:tr2bl w:val="nil"/>
        </w:tcBorders>
      </w:tcPr>
    </w:tblStylePr>
  </w:style>
  <w:style w:type="character" w:customStyle="1" w:styleId="53">
    <w:name w:val="表-居中 字符"/>
    <w:basedOn w:val="12"/>
    <w:link w:val="51"/>
    <w:uiPriority w:val="0"/>
    <w:rPr>
      <w:rFonts w:ascii="Times New Roman" w:hAnsi="Times New Roman" w:eastAsia="宋体"/>
    </w:rPr>
  </w:style>
  <w:style w:type="paragraph" w:customStyle="1" w:styleId="54">
    <w:name w:val="表-caption"/>
    <w:basedOn w:val="1"/>
    <w:next w:val="1"/>
    <w:link w:val="56"/>
    <w:qFormat/>
    <w:uiPriority w:val="1"/>
    <w:pPr>
      <w:keepNext/>
      <w:spacing w:before="120" w:after="120" w:line="240" w:lineRule="auto"/>
      <w:ind w:firstLine="0" w:firstLineChars="0"/>
      <w:jc w:val="center"/>
    </w:pPr>
    <w:rPr>
      <w:sz w:val="21"/>
    </w:rPr>
  </w:style>
  <w:style w:type="paragraph" w:customStyle="1" w:styleId="55">
    <w:name w:val="equation"/>
    <w:basedOn w:val="1"/>
    <w:next w:val="1"/>
    <w:link w:val="58"/>
    <w:qFormat/>
    <w:uiPriority w:val="1"/>
    <w:pPr>
      <w:tabs>
        <w:tab w:val="center" w:pos="4536"/>
        <w:tab w:val="right" w:pos="9072"/>
      </w:tabs>
      <w:spacing w:line="360" w:lineRule="auto"/>
      <w:ind w:firstLine="0" w:firstLineChars="0"/>
    </w:pPr>
  </w:style>
  <w:style w:type="character" w:customStyle="1" w:styleId="56">
    <w:name w:val="表-caption 字符"/>
    <w:basedOn w:val="12"/>
    <w:link w:val="54"/>
    <w:uiPriority w:val="1"/>
    <w:rPr>
      <w:rFonts w:ascii="Times New Roman" w:hAnsi="Times New Roman" w:eastAsia="宋体"/>
    </w:rPr>
  </w:style>
  <w:style w:type="paragraph" w:customStyle="1" w:styleId="57">
    <w:name w:val="符号说明"/>
    <w:basedOn w:val="1"/>
    <w:next w:val="1"/>
    <w:link w:val="60"/>
    <w:qFormat/>
    <w:uiPriority w:val="0"/>
    <w:pPr>
      <w:tabs>
        <w:tab w:val="left" w:pos="851"/>
        <w:tab w:val="left" w:pos="2268"/>
      </w:tabs>
      <w:spacing w:line="320" w:lineRule="exact"/>
      <w:ind w:firstLine="0" w:firstLineChars="0"/>
    </w:pPr>
    <w:rPr>
      <w:sz w:val="21"/>
    </w:rPr>
  </w:style>
  <w:style w:type="character" w:customStyle="1" w:styleId="58">
    <w:name w:val="equation 字符"/>
    <w:basedOn w:val="12"/>
    <w:link w:val="55"/>
    <w:uiPriority w:val="1"/>
    <w:rPr>
      <w:rFonts w:ascii="Times New Roman" w:hAnsi="Times New Roman" w:eastAsia="宋体"/>
      <w:sz w:val="24"/>
    </w:rPr>
  </w:style>
  <w:style w:type="paragraph" w:customStyle="1" w:styleId="59">
    <w:name w:val="参考文献"/>
    <w:basedOn w:val="1"/>
    <w:next w:val="1"/>
    <w:link w:val="62"/>
    <w:qFormat/>
    <w:uiPriority w:val="0"/>
    <w:pPr>
      <w:numPr>
        <w:ilvl w:val="3"/>
        <w:numId w:val="1"/>
      </w:numPr>
      <w:tabs>
        <w:tab w:val="left" w:pos="480"/>
      </w:tabs>
      <w:spacing w:line="320" w:lineRule="exact"/>
      <w:ind w:firstLineChars="0"/>
    </w:pPr>
    <w:rPr>
      <w:sz w:val="21"/>
    </w:rPr>
  </w:style>
  <w:style w:type="character" w:customStyle="1" w:styleId="60">
    <w:name w:val="符号说明 字符"/>
    <w:basedOn w:val="12"/>
    <w:link w:val="57"/>
    <w:uiPriority w:val="0"/>
    <w:rPr>
      <w:rFonts w:ascii="Times New Roman" w:hAnsi="Times New Roman" w:eastAsia="宋体"/>
    </w:rPr>
  </w:style>
  <w:style w:type="paragraph" w:customStyle="1" w:styleId="61">
    <w:name w:val="致谢"/>
    <w:basedOn w:val="1"/>
    <w:next w:val="1"/>
    <w:link w:val="64"/>
    <w:qFormat/>
    <w:uiPriority w:val="0"/>
    <w:pPr>
      <w:spacing w:line="320" w:lineRule="exact"/>
    </w:pPr>
    <w:rPr>
      <w:rFonts w:ascii="仿宋" w:hAnsi="仿宋" w:eastAsia="仿宋"/>
    </w:rPr>
  </w:style>
  <w:style w:type="character" w:customStyle="1" w:styleId="62">
    <w:name w:val="参考文献 字符"/>
    <w:basedOn w:val="12"/>
    <w:link w:val="59"/>
    <w:uiPriority w:val="0"/>
    <w:rPr>
      <w:rFonts w:ascii="Times New Roman" w:hAnsi="Times New Roman" w:eastAsia="宋体"/>
    </w:rPr>
  </w:style>
  <w:style w:type="paragraph" w:customStyle="1" w:styleId="63">
    <w:name w:val="secion*"/>
    <w:basedOn w:val="1"/>
    <w:next w:val="1"/>
    <w:link w:val="66"/>
    <w:qFormat/>
    <w:uiPriority w:val="0"/>
    <w:pPr>
      <w:spacing w:before="480" w:after="120" w:line="240" w:lineRule="auto"/>
    </w:pPr>
    <w:rPr>
      <w:b/>
    </w:rPr>
  </w:style>
  <w:style w:type="character" w:customStyle="1" w:styleId="64">
    <w:name w:val="致谢 字符"/>
    <w:basedOn w:val="12"/>
    <w:link w:val="61"/>
    <w:uiPriority w:val="0"/>
    <w:rPr>
      <w:rFonts w:ascii="仿宋" w:hAnsi="仿宋" w:eastAsia="仿宋"/>
      <w:sz w:val="24"/>
    </w:rPr>
  </w:style>
  <w:style w:type="paragraph" w:customStyle="1" w:styleId="65">
    <w:name w:val="代码"/>
    <w:basedOn w:val="1"/>
    <w:next w:val="1"/>
    <w:link w:val="67"/>
    <w:qFormat/>
    <w:uiPriority w:val="0"/>
    <w:pPr>
      <w:ind w:firstLine="0" w:firstLineChars="0"/>
    </w:pPr>
    <w:rPr>
      <w:rFonts w:ascii="Courier New" w:hAnsi="Courier New" w:eastAsia="仿宋"/>
    </w:rPr>
  </w:style>
  <w:style w:type="character" w:customStyle="1" w:styleId="66">
    <w:name w:val="secion* 字符"/>
    <w:basedOn w:val="12"/>
    <w:link w:val="63"/>
    <w:uiPriority w:val="0"/>
    <w:rPr>
      <w:rFonts w:ascii="Times New Roman" w:hAnsi="Times New Roman" w:eastAsia="宋体"/>
      <w:b/>
      <w:sz w:val="24"/>
    </w:rPr>
  </w:style>
  <w:style w:type="character" w:customStyle="1" w:styleId="67">
    <w:name w:val="代码 字符"/>
    <w:basedOn w:val="12"/>
    <w:link w:val="65"/>
    <w:uiPriority w:val="0"/>
    <w:rPr>
      <w:rFonts w:ascii="Courier New" w:hAnsi="Courier New" w:eastAsia="仿宋"/>
      <w:sz w:val="24"/>
    </w:rPr>
  </w:style>
  <w:style w:type="paragraph" w:customStyle="1" w:styleId="68">
    <w:name w:val="关键词"/>
    <w:basedOn w:val="1"/>
    <w:next w:val="1"/>
    <w:link w:val="69"/>
    <w:qFormat/>
    <w:uiPriority w:val="2"/>
    <w:pPr>
      <w:spacing w:before="100" w:beforeLines="100"/>
    </w:pPr>
  </w:style>
  <w:style w:type="character" w:customStyle="1" w:styleId="69">
    <w:name w:val="关键词 字符"/>
    <w:basedOn w:val="12"/>
    <w:link w:val="68"/>
    <w:uiPriority w:val="2"/>
    <w:rPr>
      <w:rFonts w:ascii="Times New Roman" w:hAnsi="Times New Roman" w:eastAsia="宋体"/>
      <w:sz w:val="24"/>
    </w:rPr>
  </w:style>
  <w:style w:type="character" w:customStyle="1" w:styleId="70">
    <w:name w:val="脚注文本 字符"/>
    <w:basedOn w:val="12"/>
    <w:link w:val="8"/>
    <w:semiHidden/>
    <w:uiPriority w:val="99"/>
    <w:rPr>
      <w:rFonts w:ascii="Times New Roman" w:hAnsi="Times New Roman" w:eastAsia="宋体"/>
      <w:sz w:val="18"/>
      <w:szCs w:val="18"/>
    </w:rPr>
  </w:style>
  <w:style w:type="paragraph" w:customStyle="1" w:styleId="71">
    <w:name w:val="chapter-附录"/>
    <w:basedOn w:val="38"/>
    <w:next w:val="1"/>
    <w:link w:val="72"/>
    <w:qFormat/>
    <w:uiPriority w:val="0"/>
    <w:pPr>
      <w:numPr>
        <w:ilvl w:val="6"/>
        <w:numId w:val="1"/>
      </w:numPr>
    </w:pPr>
  </w:style>
  <w:style w:type="character" w:customStyle="1" w:styleId="72">
    <w:name w:val="chapter-附录 字符"/>
    <w:basedOn w:val="40"/>
    <w:link w:val="71"/>
    <w:qFormat/>
    <w:uiPriority w:val="0"/>
    <w:rPr>
      <w:rFonts w:ascii="Times New Roman" w:hAnsi="Times New Roman" w:eastAsia="黑体"/>
      <w:sz w:val="32"/>
    </w:rPr>
  </w:style>
  <w:style w:type="character" w:customStyle="1" w:styleId="73">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glossaryDocument" Target="glossary/document.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169;&#26495;\&#30740;&#31350;&#29983;&#8212;&#27491;&#25991;.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FCD90FB64E747F39D8564D6A23F4AD6"/>
        <w:style w:val=""/>
        <w:category>
          <w:name w:val="常规"/>
          <w:gallery w:val="placeholder"/>
        </w:category>
        <w:types>
          <w:type w:val="bbPlcHdr"/>
        </w:types>
        <w:behaviors>
          <w:behavior w:val="content"/>
        </w:behaviors>
        <w:description w:val=""/>
        <w:guid w:val="{E3FA12D9-EBE6-45EB-AB2A-017DE23277E5}"/>
      </w:docPartPr>
      <w:docPartBody>
        <w:p w14:paraId="6F7B3211">
          <w:pPr>
            <w:pStyle w:val="42"/>
          </w:pPr>
          <w:r>
            <w:rPr>
              <w:rStyle w:val="4"/>
              <w:rFonts w:hint="eastAsia"/>
            </w:rPr>
            <w:t>输入图标题</w:t>
          </w:r>
        </w:p>
      </w:docPartBody>
    </w:docPart>
    <w:docPart>
      <w:docPartPr>
        <w:name w:val="649801CC2C9D4841B8F0C6744A777E90"/>
        <w:style w:val=""/>
        <w:category>
          <w:name w:val="常规"/>
          <w:gallery w:val="placeholder"/>
        </w:category>
        <w:types>
          <w:type w:val="bbPlcHdr"/>
        </w:types>
        <w:behaviors>
          <w:behavior w:val="content"/>
        </w:behaviors>
        <w:description w:val=""/>
        <w:guid w:val="{9DF89949-8E28-45F1-9787-22C2F5E4484C}"/>
      </w:docPartPr>
      <w:docPartBody>
        <w:p w14:paraId="3558D322">
          <w:pPr>
            <w:pStyle w:val="44"/>
          </w:pPr>
          <w:r>
            <w:rPr>
              <w:rStyle w:val="4"/>
              <w:rFonts w:hint="eastAsia"/>
            </w:rPr>
            <w:t>输入图标题</w:t>
          </w:r>
        </w:p>
      </w:docPartBody>
    </w:docPart>
    <w:docPart>
      <w:docPartPr>
        <w:name w:val="53CEB69F39BA404A994115A75B11AEB5"/>
        <w:style w:val=""/>
        <w:category>
          <w:name w:val="常规"/>
          <w:gallery w:val="placeholder"/>
        </w:category>
        <w:types>
          <w:type w:val="bbPlcHdr"/>
        </w:types>
        <w:behaviors>
          <w:behavior w:val="content"/>
        </w:behaviors>
        <w:description w:val=""/>
        <w:guid w:val="{8CEC9B11-FE83-4FB7-9744-E9F7BA0740CA}"/>
      </w:docPartPr>
      <w:docPartBody>
        <w:p w14:paraId="0ADE0F01">
          <w:pPr>
            <w:pStyle w:val="45"/>
          </w:pPr>
          <w:r>
            <w:rPr>
              <w:rStyle w:val="4"/>
              <w:rFonts w:hint="eastAsia"/>
            </w:rPr>
            <w:t>输入图标题</w:t>
          </w:r>
        </w:p>
      </w:docPartBody>
    </w:docPart>
    <w:docPart>
      <w:docPartPr>
        <w:name w:val="59E373204C394BB8B674E26B1A532A78"/>
        <w:style w:val=""/>
        <w:category>
          <w:name w:val="常规"/>
          <w:gallery w:val="placeholder"/>
        </w:category>
        <w:types>
          <w:type w:val="bbPlcHdr"/>
        </w:types>
        <w:behaviors>
          <w:behavior w:val="content"/>
        </w:behaviors>
        <w:description w:val=""/>
        <w:guid w:val="{CE2FFFA5-E379-41CC-B3D0-6724000A7B97}"/>
      </w:docPartPr>
      <w:docPartBody>
        <w:p w14:paraId="18967F5D">
          <w:pPr>
            <w:pStyle w:val="47"/>
          </w:pPr>
          <w:r>
            <w:rPr>
              <w:rStyle w:val="4"/>
              <w:rFonts w:hint="eastAsia"/>
            </w:rPr>
            <w:t>输入图标题</w:t>
          </w:r>
        </w:p>
      </w:docPartBody>
    </w:docPart>
    <w:docPart>
      <w:docPartPr>
        <w:name w:val="8BB8FDC3EBA648649FD96BCD6CB45B38"/>
        <w:style w:val=""/>
        <w:category>
          <w:name w:val="常规"/>
          <w:gallery w:val="placeholder"/>
        </w:category>
        <w:types>
          <w:type w:val="bbPlcHdr"/>
        </w:types>
        <w:behaviors>
          <w:behavior w:val="content"/>
        </w:behaviors>
        <w:description w:val=""/>
        <w:guid w:val="{7C0D2BD4-2599-4AA4-A78B-788D7E9858E0}"/>
      </w:docPartPr>
      <w:docPartBody>
        <w:p w14:paraId="4B1DCA44">
          <w:pPr>
            <w:pStyle w:val="50"/>
          </w:pPr>
          <w:r>
            <w:rPr>
              <w:rStyle w:val="4"/>
              <w:rFonts w:hint="eastAsia"/>
            </w:rPr>
            <w:t>输入图标题</w:t>
          </w:r>
        </w:p>
      </w:docPartBody>
    </w:docPart>
    <w:docPart>
      <w:docPartPr>
        <w:name w:val="E71ECCAEDC8C4DB1B6A969C0E0D03035"/>
        <w:style w:val=""/>
        <w:category>
          <w:name w:val="常规"/>
          <w:gallery w:val="placeholder"/>
        </w:category>
        <w:types>
          <w:type w:val="bbPlcHdr"/>
        </w:types>
        <w:behaviors>
          <w:behavior w:val="content"/>
        </w:behaviors>
        <w:description w:val=""/>
        <w:guid w:val="{578814B6-CB1A-4A7B-9E6A-08978FDA8D43}"/>
      </w:docPartPr>
      <w:docPartBody>
        <w:p w14:paraId="1359308D">
          <w:pPr>
            <w:pStyle w:val="52"/>
          </w:pPr>
          <w:r>
            <w:rPr>
              <w:rStyle w:val="4"/>
              <w:rFonts w:hint="eastAsia"/>
            </w:rPr>
            <w:t>输入图标题</w:t>
          </w:r>
        </w:p>
      </w:docPartBody>
    </w:docPart>
    <w:docPart>
      <w:docPartPr>
        <w:name w:val="330FCCFBF53C4895BDC02101DE566D7E"/>
        <w:style w:val=""/>
        <w:category>
          <w:name w:val="常规"/>
          <w:gallery w:val="placeholder"/>
        </w:category>
        <w:types>
          <w:type w:val="bbPlcHdr"/>
        </w:types>
        <w:behaviors>
          <w:behavior w:val="content"/>
        </w:behaviors>
        <w:description w:val=""/>
        <w:guid w:val="{D4DDBD02-BB8E-45DA-B808-93E6B04BFA07}"/>
      </w:docPartPr>
      <w:docPartBody>
        <w:p w14:paraId="6457947C">
          <w:pPr>
            <w:pStyle w:val="53"/>
          </w:pPr>
          <w:r>
            <w:rPr>
              <w:rStyle w:val="4"/>
              <w:rFonts w:hint="eastAsia"/>
            </w:rPr>
            <w:t>输入表标题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F0F"/>
    <w:rsid w:val="001B4F0F"/>
    <w:rsid w:val="004B7B17"/>
    <w:rsid w:val="00575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F0FB7DD52DF4152B188F5FACC59377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1E5F80EEF244DD7BE6F8245A4AB4013"/>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896DCD9954C427BBFC414A86607EA77"/>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8A3CDCECFDED489AAB57B09D6026A174"/>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7350316A19C84A6CB0E7DEBC60E0DC67"/>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6A907350864946BCB971BFA654CC1D43"/>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4D9554A47D9F4C5A8E4BE669EDB39794"/>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660ED371746D4C1F818D75BCBC7D1DA9"/>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A025A4B0B0DC471C88961409CBAB9D09"/>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4EF5385133A4416885F9DBF80608A1D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7492A2C512674856A9FCF0B30F45ACF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3B3F36DA83F444D0850AB581E58BD8B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1F9A5AA0A2FC4BC89A5BB91D9DF09B2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F6F7FACC40834415AEEE0CC8225D6EE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C5C865EC1CAE495DA73383D3BFF22B51"/>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0">
    <w:name w:val="C0E922AD41BC497D856A0AA442E9CADB"/>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1">
    <w:name w:val="42B52EED6A36430BB48A442CB08B98B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2">
    <w:name w:val="1A051E4186CA437B806026008BFD9E95"/>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3">
    <w:name w:val="1DED69F1060F4780BD6E199B25F0D77C"/>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4">
    <w:name w:val="2F702A67E12148B19772423085C47A57"/>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5">
    <w:name w:val="F2207D91929240F68B7E642A6464E25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6">
    <w:name w:val="1CDB814B1D984052983290B38B0A1C0F"/>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7">
    <w:name w:val="92E3563578B943A3B07FD8AD0BCA45FF"/>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8">
    <w:name w:val="F6EEF493E85A4685AB1B62FDB974D69B"/>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29">
    <w:name w:val="10409369F5D24AB7AD1835F14F19EDF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0">
    <w:name w:val="8AFE59DF98894E738735F50D68174785"/>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1">
    <w:name w:val="73388E6750A4432A8F45A0729F8C0A1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2">
    <w:name w:val="6A836A5D4A7E44E89ECB0BA280B16A1A"/>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3">
    <w:name w:val="1037EC12CDE84510B469B136FD68B82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4">
    <w:name w:val="F6DDF63AE4314481B85C0C402AB8F48C"/>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5">
    <w:name w:val="9FD34488E91642AF8C0E6FFDDFD0E8C4"/>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6">
    <w:name w:val="5B0D5AA7CCDB4A0887EA95E92AE2FE7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7">
    <w:name w:val="1DC79E27D9BB44349CB0627D58E057E3"/>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8">
    <w:name w:val="048347489BD14933B997DF8FCC3CBD5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39">
    <w:name w:val="928A936EAC4A42379968FA4A9D7A9ADA"/>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0">
    <w:name w:val="773427B77FA04F1AB23BB14EB6FDF321"/>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1">
    <w:name w:val="94AAAE28C7084F0582ECD64295660C9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2">
    <w:name w:val="5FCD90FB64E747F39D8564D6A23F4AD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3">
    <w:name w:val="01CE6CAAFCF84AD8B716281F5F312591"/>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4">
    <w:name w:val="649801CC2C9D4841B8F0C6744A777E9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5">
    <w:name w:val="53CEB69F39BA404A994115A75B11AEB5"/>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6">
    <w:name w:val="A4E90A10DC7446CD8B2B3503BBABE5B1"/>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7">
    <w:name w:val="59E373204C394BB8B674E26B1A532A7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8">
    <w:name w:val="62EBE228C7B44C6CB9D1D6C1DE93BDAA"/>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49">
    <w:name w:val="AB9FBAC5F25544B382F7B8CE23051036"/>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0">
    <w:name w:val="8BB8FDC3EBA648649FD96BCD6CB45B38"/>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1">
    <w:name w:val="03A3C21540EE4B24A69FB004F2BC60D4"/>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2">
    <w:name w:val="E71ECCAEDC8C4DB1B6A969C0E0D03035"/>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3">
    <w:name w:val="330FCCFBF53C4895BDC02101DE566D7E"/>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54">
    <w:name w:val="967A11E010F046529B505D816209D64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D27D7-6444-4819-942F-9ADE2982FD2E}">
  <ds:schemaRefs/>
</ds:datastoreItem>
</file>

<file path=docProps/app.xml><?xml version="1.0" encoding="utf-8"?>
<Properties xmlns="http://schemas.openxmlformats.org/officeDocument/2006/extended-properties" xmlns:vt="http://schemas.openxmlformats.org/officeDocument/2006/docPropsVTypes">
  <Template>研究生—正文</Template>
  <Pages>24</Pages>
  <Words>6283</Words>
  <Characters>8174</Characters>
  <Lines>185</Lines>
  <Paragraphs>149</Paragraphs>
  <TotalTime>8126</TotalTime>
  <ScaleCrop>false</ScaleCrop>
  <LinksUpToDate>false</LinksUpToDate>
  <CharactersWithSpaces>8628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2025-12-10T20:39:00Z</dcterms:created>
  <dc:creator>Administrator</dc:creator>
  <cp:lastModifiedBy>秀秀</cp:lastModifiedBy>
  <dcterms:modified xsi:type="dcterms:W3CDTF">2026-05-11T07:14:37Z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CFE6B3C46CDF4725A7B9321CFCE13499_13</vt:lpwstr>
  </property>
</Properties>
</file>