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CJK SC" w:hAnsi="Noto Sans CJK SC" w:eastAsia="Noto Sans CJK SC"/>
        </w:rPr>
        <w:t>功能需求报告（建议稿）</w:t>
      </w:r>
    </w:p>
    <w:p>
      <w:pPr>
        <w:spacing w:after="160" w:line="288" w:lineRule="auto"/>
      </w:pPr>
      <w:r>
        <w:rPr>
          <w:rFonts w:ascii="Noto Sans CJK SC" w:hAnsi="Noto Sans CJK SC" w:eastAsia="Noto Sans CJK SC"/>
          <w:color w:val="5F6C75"/>
          <w:sz w:val="18"/>
        </w:rPr>
        <w:t>COMP2019 | 第 002 组  •  2026 年 10 月 31 日  •  编写人：Junhao Li</w:t>
      </w:r>
    </w:p>
    <w:p>
      <w:pPr>
        <w:spacing w:after="120" w:line="288" w:lineRule="auto"/>
      </w:pPr>
      <w:r>
        <w:rPr>
          <w:rFonts w:ascii="Noto Sans CJK SC" w:hAnsi="Noto Sans CJK SC" w:eastAsia="Noto Sans CJK SC"/>
          <w:b/>
        </w:rPr>
        <w:t>项目：基于增强现实的智能交通监测与车牌异常检测系统</w:t>
      </w:r>
      <w:r>
        <w:rPr>
          <w:rFonts w:ascii="Noto Sans CJK SC" w:hAnsi="Noto Sans CJK SC" w:eastAsia="Noto Sans CJK SC"/>
        </w:rPr>
      </w:r>
    </w:p>
    <w:p>
      <w:pPr>
        <w:pStyle w:val="Heading1"/>
        <w:keepNext/>
      </w:pPr>
      <w:r>
        <w:rPr>
          <w:rFonts w:ascii="Noto Sans CJK SC" w:hAnsi="Noto Sans CJK SC" w:eastAsia="Noto Sans CJK SC"/>
        </w:rPr>
        <w:t>1. 报告目的与系统范围</w:t>
      </w:r>
    </w:p>
    <w:p>
      <w:pPr>
        <w:spacing w:line="288" w:lineRule="auto"/>
      </w:pPr>
      <w:r>
        <w:rPr>
          <w:rFonts w:ascii="Noto Sans CJK SC" w:hAnsi="Noto Sans CJK SC" w:eastAsia="Noto Sans CJK SC"/>
        </w:rPr>
        <w:t>本报告为智能交通监测系统提出可测试的功能需求。系统旨在协助安保人员及交通监测人员分析车辆活动、识别可见车牌、查询模拟车辆登记数据库，并审核潜在异常。初期建议采用固定道路旁或岗亭摄像头拍摄的录制视频作为输入。这些需求用于小组讨论及导师审批，不代表相关功能已经完成。</w:t>
      </w:r>
    </w:p>
    <w:p>
      <w:pPr>
        <w:pStyle w:val="Heading1"/>
        <w:keepNext/>
      </w:pPr>
      <w:r>
        <w:rPr>
          <w:rFonts w:ascii="Noto Sans CJK SC" w:hAnsi="Noto Sans CJK SC" w:eastAsia="Noto Sans CJK SC"/>
        </w:rPr>
        <w:t>2. 核心功能需求（第一阶段）</w:t>
      </w:r>
    </w:p>
    <w:p>
      <w:pPr>
        <w:spacing w:line="288" w:lineRule="auto"/>
      </w:pPr>
      <w:r>
        <w:rPr>
          <w:rFonts w:ascii="Noto Sans CJK SC" w:hAnsi="Noto Sans CJK SC" w:eastAsia="Noto Sans CJK SC"/>
        </w:rPr>
        <w:t>以下验收检查均为建议测试方式。具体的数值化性能阈值将在基线测试后商定。</w:t>
      </w:r>
    </w:p>
    <w:tbl>
      <w:tblPr>
        <w:tblStyle w:val="TableGrid"/>
        <w:tblW w:type="auto" w:w="0"/>
        <w:jc w:val="center"/>
        <w:tblLayout w:type="fixed"/>
        <w:tblLook w:firstColumn="1" w:firstRow="1" w:lastColumn="0" w:lastRow="0" w:noHBand="0" w:noVBand="1" w:val="04A0"/>
      </w:tblPr>
      <w:tblGrid>
        <w:gridCol w:w="950"/>
        <w:gridCol w:w="4536"/>
        <w:gridCol w:w="4262"/>
      </w:tblGrid>
      <w:tr>
        <w:trPr>
          <w:tblHeader w:val="true"/>
          <w:cantSplit/>
        </w:trPr>
        <w:tc>
          <w:tcPr>
            <w:tcW w:type="dxa" w:w="950"/>
            <w:vAlign w:val="center"/>
            <w:tcMar>
              <w:top w:w="70" w:type="dxa"/>
              <w:start w:w="90" w:type="dxa"/>
              <w:bottom w:w="70" w:type="dxa"/>
              <w:end w:w="90" w:type="dxa"/>
            </w:tcMar>
            <w:shd w:fill="E3EBF2"/>
          </w:tcPr>
          <w:p>
            <w:pPr>
              <w:spacing w:after="0" w:line="274" w:lineRule="auto"/>
            </w:pPr>
            <w:r>
              <w:rPr>
                <w:rFonts w:ascii="Noto Sans CJK SC" w:hAnsi="Noto Sans CJK SC" w:eastAsia="Noto Sans CJK SC"/>
                <w:sz w:val="15"/>
              </w:rPr>
              <w:t>编号</w:t>
            </w:r>
            <w:r>
              <w:rPr>
                <w:rFonts w:ascii="Noto Sans CJK SC" w:hAnsi="Noto Sans CJK SC" w:eastAsia="Noto Sans CJK SC"/>
                <w:b/>
                <w:color w:val="23303C"/>
                <w:sz w:val="15"/>
              </w:rPr>
            </w:r>
          </w:p>
        </w:tc>
        <w:tc>
          <w:tcPr>
            <w:tcW w:type="dxa" w:w="4536"/>
            <w:vAlign w:val="center"/>
            <w:tcMar>
              <w:top w:w="70" w:type="dxa"/>
              <w:start w:w="90" w:type="dxa"/>
              <w:bottom w:w="70" w:type="dxa"/>
              <w:end w:w="90" w:type="dxa"/>
            </w:tcMar>
            <w:shd w:fill="E3EBF2"/>
          </w:tcPr>
          <w:p>
            <w:pPr>
              <w:spacing w:after="0" w:line="274" w:lineRule="auto"/>
            </w:pPr>
            <w:r>
              <w:rPr>
                <w:rFonts w:ascii="Noto Sans CJK SC" w:hAnsi="Noto Sans CJK SC" w:eastAsia="Noto Sans CJK SC"/>
                <w:sz w:val="15"/>
              </w:rPr>
              <w:t>建议的系统功能</w:t>
            </w:r>
            <w:r>
              <w:rPr>
                <w:rFonts w:ascii="Noto Sans CJK SC" w:hAnsi="Noto Sans CJK SC" w:eastAsia="Noto Sans CJK SC"/>
                <w:b/>
                <w:color w:val="23303C"/>
                <w:sz w:val="15"/>
              </w:rPr>
            </w:r>
          </w:p>
        </w:tc>
        <w:tc>
          <w:tcPr>
            <w:tcW w:type="dxa" w:w="4262"/>
            <w:vAlign w:val="center"/>
            <w:tcMar>
              <w:top w:w="70" w:type="dxa"/>
              <w:start w:w="90" w:type="dxa"/>
              <w:bottom w:w="70" w:type="dxa"/>
              <w:end w:w="90" w:type="dxa"/>
            </w:tcMar>
            <w:shd w:fill="E3EBF2"/>
          </w:tcPr>
          <w:p>
            <w:pPr>
              <w:spacing w:after="0" w:line="274" w:lineRule="auto"/>
            </w:pPr>
            <w:r>
              <w:rPr>
                <w:rFonts w:ascii="Noto Sans CJK SC" w:hAnsi="Noto Sans CJK SC" w:eastAsia="Noto Sans CJK SC"/>
                <w:sz w:val="15"/>
              </w:rPr>
              <w:t>建议验收检查</w:t>
            </w:r>
            <w:r>
              <w:rPr>
                <w:rFonts w:ascii="Noto Sans CJK SC" w:hAnsi="Noto Sans CJK SC" w:eastAsia="Noto Sans CJK SC"/>
                <w:b/>
                <w:color w:val="23303C"/>
                <w:sz w:val="15"/>
              </w:rPr>
            </w:r>
          </w:p>
        </w:tc>
      </w:tr>
      <w:tr>
        <w:trPr>
          <w:cantSplit/>
        </w:trPr>
        <w:tc>
          <w:tcPr>
            <w:tcW w:type="dxa" w:w="950"/>
            <w:vAlign w:val="center"/>
            <w:tcMar>
              <w:top w:w="70" w:type="dxa"/>
              <w:start w:w="90" w:type="dxa"/>
              <w:bottom w:w="70" w:type="dxa"/>
              <w:end w:w="90" w:type="dxa"/>
            </w:tcMar>
          </w:tcPr>
          <w:p>
            <w:pPr>
              <w:spacing w:after="0" w:line="274" w:lineRule="auto"/>
            </w:pPr>
            <w:r>
              <w:rPr>
                <w:rFonts w:ascii="Noto Sans CJK SC" w:hAnsi="Noto Sans CJK SC" w:eastAsia="Noto Sans CJK SC"/>
                <w:sz w:val="15"/>
              </w:rPr>
              <w:t>FR01</w:t>
            </w:r>
            <w:r>
              <w:rPr>
                <w:rFonts w:ascii="Noto Sans CJK SC" w:hAnsi="Noto Sans CJK SC" w:eastAsia="Noto Sans CJK SC"/>
                <w:b/>
                <w:color w:val="23303C"/>
                <w:sz w:val="15"/>
              </w:rPr>
            </w:r>
          </w:p>
        </w:tc>
        <w:tc>
          <w:tcPr>
            <w:tcW w:type="dxa" w:w="4536"/>
            <w:vAlign w:val="center"/>
            <w:tcMar>
              <w:top w:w="70" w:type="dxa"/>
              <w:start w:w="90" w:type="dxa"/>
              <w:bottom w:w="70" w:type="dxa"/>
              <w:end w:w="90" w:type="dxa"/>
            </w:tcMar>
          </w:tcPr>
          <w:p>
            <w:pPr>
              <w:spacing w:after="0" w:line="274" w:lineRule="auto"/>
            </w:pPr>
            <w:r>
              <w:rPr>
                <w:rFonts w:ascii="Noto Sans CJK SC" w:hAnsi="Noto Sans CJK SC" w:eastAsia="Noto Sans CJK SC"/>
                <w:sz w:val="15"/>
              </w:rPr>
              <w:t>视频分析。系统应允许用户选择已录制的视频和场景配置，开始或停止分析，并查看处理状态及清晰的错误提示。</w:t>
            </w:r>
            <w:r>
              <w:rPr>
                <w:rFonts w:ascii="Noto Sans CJK SC" w:hAnsi="Noto Sans CJK SC" w:eastAsia="Noto Sans CJK SC"/>
                <w:b w:val="0"/>
                <w:color w:val="23303C"/>
                <w:sz w:val="15"/>
              </w:rPr>
            </w:r>
          </w:p>
        </w:tc>
        <w:tc>
          <w:tcPr>
            <w:tcW w:type="dxa" w:w="4262"/>
            <w:vAlign w:val="center"/>
            <w:tcMar>
              <w:top w:w="70" w:type="dxa"/>
              <w:start w:w="90" w:type="dxa"/>
              <w:bottom w:w="70" w:type="dxa"/>
              <w:end w:w="90" w:type="dxa"/>
            </w:tcMar>
          </w:tcPr>
          <w:p>
            <w:pPr>
              <w:spacing w:after="0" w:line="274" w:lineRule="auto"/>
            </w:pPr>
            <w:r>
              <w:rPr>
                <w:rFonts w:ascii="Noto Sans CJK SC" w:hAnsi="Noto Sans CJK SC" w:eastAsia="Noto Sans CJK SC"/>
                <w:sz w:val="15"/>
              </w:rPr>
              <w:t>输入有效测试视频后，用户能够开始、监控和停止任务；对于无效输入，系统应显示易于理解的错误信息。</w:t>
            </w:r>
            <w:r>
              <w:rPr>
                <w:rFonts w:ascii="Noto Sans CJK SC" w:hAnsi="Noto Sans CJK SC" w:eastAsia="Noto Sans CJK SC"/>
                <w:b w:val="0"/>
                <w:color w:val="23303C"/>
                <w:sz w:val="15"/>
              </w:rPr>
            </w:r>
          </w:p>
        </w:tc>
      </w:tr>
      <w:tr>
        <w:trPr>
          <w:cantSplit/>
        </w:trPr>
        <w:tc>
          <w:tcPr>
            <w:tcW w:type="dxa" w:w="950"/>
            <w:vAlign w:val="center"/>
            <w:tcMar>
              <w:top w:w="70" w:type="dxa"/>
              <w:start w:w="90" w:type="dxa"/>
              <w:bottom w:w="70" w:type="dxa"/>
              <w:end w:w="90" w:type="dxa"/>
            </w:tcMar>
            <w:shd w:fill="F6F8FA"/>
          </w:tcPr>
          <w:p>
            <w:pPr>
              <w:spacing w:after="0" w:line="274" w:lineRule="auto"/>
            </w:pPr>
            <w:r>
              <w:rPr>
                <w:rFonts w:ascii="Noto Sans CJK SC" w:hAnsi="Noto Sans CJK SC" w:eastAsia="Noto Sans CJK SC"/>
                <w:sz w:val="15"/>
              </w:rPr>
              <w:t>FR02</w:t>
            </w:r>
            <w:r>
              <w:rPr>
                <w:rFonts w:ascii="Noto Sans CJK SC" w:hAnsi="Noto Sans CJK SC" w:eastAsia="Noto Sans CJK SC"/>
                <w:b/>
                <w:color w:val="23303C"/>
                <w:sz w:val="15"/>
              </w:rPr>
            </w:r>
          </w:p>
        </w:tc>
        <w:tc>
          <w:tcPr>
            <w:tcW w:type="dxa" w:w="4536"/>
            <w:vAlign w:val="center"/>
            <w:tcMar>
              <w:top w:w="70" w:type="dxa"/>
              <w:start w:w="90" w:type="dxa"/>
              <w:bottom w:w="70" w:type="dxa"/>
              <w:end w:w="90" w:type="dxa"/>
            </w:tcMar>
            <w:shd w:fill="F6F8FA"/>
          </w:tcPr>
          <w:p>
            <w:pPr>
              <w:spacing w:after="0" w:line="274" w:lineRule="auto"/>
            </w:pPr>
            <w:r>
              <w:rPr>
                <w:rFonts w:ascii="Noto Sans CJK SC" w:hAnsi="Noto Sans CJK SC" w:eastAsia="Noto Sans CJK SC"/>
                <w:sz w:val="15"/>
              </w:rPr>
              <w:t>车辆检测与追踪。系统应检测交通视频中的车辆，使用追踪 ID 将同一辆车在不同视频帧中的观测结果关联起来，并尝试在短暂遮挡后保持身份一致。</w:t>
            </w:r>
            <w:r>
              <w:rPr>
                <w:rFonts w:ascii="Noto Sans CJK SC" w:hAnsi="Noto Sans CJK SC" w:eastAsia="Noto Sans CJK SC"/>
                <w:b w:val="0"/>
                <w:color w:val="23303C"/>
                <w:sz w:val="15"/>
              </w:rPr>
            </w:r>
          </w:p>
        </w:tc>
        <w:tc>
          <w:tcPr>
            <w:tcW w:type="dxa" w:w="4262"/>
            <w:vAlign w:val="center"/>
            <w:tcMar>
              <w:top w:w="70" w:type="dxa"/>
              <w:start w:w="90" w:type="dxa"/>
              <w:bottom w:w="70" w:type="dxa"/>
              <w:end w:w="90" w:type="dxa"/>
            </w:tcMar>
            <w:shd w:fill="F6F8FA"/>
          </w:tcPr>
          <w:p>
            <w:pPr>
              <w:spacing w:after="0" w:line="274" w:lineRule="auto"/>
            </w:pPr>
            <w:r>
              <w:rPr>
                <w:rFonts w:ascii="Noto Sans CJK SC" w:hAnsi="Noto Sans CJK SC" w:eastAsia="Noto Sans CJK SC"/>
                <w:sz w:val="15"/>
              </w:rPr>
              <w:t>在包含多辆可见车辆的测试中，不同车辆应具有不同 ID；同一辆持续可见的车辆应在不同帧中保持相同 ID。短暂遮挡的情况另行评估。</w:t>
            </w:r>
            <w:r>
              <w:rPr>
                <w:rFonts w:ascii="Noto Sans CJK SC" w:hAnsi="Noto Sans CJK SC" w:eastAsia="Noto Sans CJK SC"/>
                <w:b w:val="0"/>
                <w:color w:val="23303C"/>
                <w:sz w:val="15"/>
              </w:rPr>
            </w:r>
          </w:p>
        </w:tc>
      </w:tr>
      <w:tr>
        <w:trPr>
          <w:cantSplit/>
        </w:trPr>
        <w:tc>
          <w:tcPr>
            <w:tcW w:type="dxa" w:w="950"/>
            <w:vAlign w:val="center"/>
            <w:tcMar>
              <w:top w:w="70" w:type="dxa"/>
              <w:start w:w="90" w:type="dxa"/>
              <w:bottom w:w="70" w:type="dxa"/>
              <w:end w:w="90" w:type="dxa"/>
            </w:tcMar>
          </w:tcPr>
          <w:p>
            <w:pPr>
              <w:spacing w:after="0" w:line="274" w:lineRule="auto"/>
            </w:pPr>
            <w:r>
              <w:rPr>
                <w:rFonts w:ascii="Noto Sans CJK SC" w:hAnsi="Noto Sans CJK SC" w:eastAsia="Noto Sans CJK SC"/>
                <w:sz w:val="15"/>
              </w:rPr>
              <w:t>FR03</w:t>
            </w:r>
            <w:r>
              <w:rPr>
                <w:rFonts w:ascii="Noto Sans CJK SC" w:hAnsi="Noto Sans CJK SC" w:eastAsia="Noto Sans CJK SC"/>
                <w:b/>
                <w:color w:val="23303C"/>
                <w:sz w:val="15"/>
              </w:rPr>
            </w:r>
          </w:p>
        </w:tc>
        <w:tc>
          <w:tcPr>
            <w:tcW w:type="dxa" w:w="4536"/>
            <w:vAlign w:val="center"/>
            <w:tcMar>
              <w:top w:w="70" w:type="dxa"/>
              <w:start w:w="90" w:type="dxa"/>
              <w:bottom w:w="70" w:type="dxa"/>
              <w:end w:w="90" w:type="dxa"/>
            </w:tcMar>
          </w:tcPr>
          <w:p>
            <w:pPr>
              <w:spacing w:after="0" w:line="274" w:lineRule="auto"/>
            </w:pPr>
            <w:r>
              <w:rPr>
                <w:rFonts w:ascii="Noto Sans CJK SC" w:hAnsi="Noto Sans CJK SC" w:eastAsia="Noto Sans CJK SC"/>
                <w:sz w:val="15"/>
              </w:rPr>
              <w:t>车牌识别。系统应识别可见的车牌文字，并区分“正在获取”“暂定”和“已确认”三种识别状态。不确定的识别结果必须保持为未确认。</w:t>
            </w:r>
            <w:r>
              <w:rPr>
                <w:rFonts w:ascii="Noto Sans CJK SC" w:hAnsi="Noto Sans CJK SC" w:eastAsia="Noto Sans CJK SC"/>
                <w:b w:val="0"/>
                <w:color w:val="23303C"/>
                <w:sz w:val="15"/>
              </w:rPr>
            </w:r>
          </w:p>
        </w:tc>
        <w:tc>
          <w:tcPr>
            <w:tcW w:type="dxa" w:w="4262"/>
            <w:vAlign w:val="center"/>
            <w:tcMar>
              <w:top w:w="70" w:type="dxa"/>
              <w:start w:w="90" w:type="dxa"/>
              <w:bottom w:w="70" w:type="dxa"/>
              <w:end w:w="90" w:type="dxa"/>
            </w:tcMar>
          </w:tcPr>
          <w:p>
            <w:pPr>
              <w:spacing w:after="0" w:line="274" w:lineRule="auto"/>
            </w:pPr>
            <w:r>
              <w:rPr>
                <w:rFonts w:ascii="Noto Sans CJK SC" w:hAnsi="Noto Sans CJK SC" w:eastAsia="Noto Sans CJK SC"/>
                <w:sz w:val="15"/>
              </w:rPr>
              <w:t>清晰及模糊车牌样本应产生合适的识别状态；不得将暂定结果误表示为已确认的登记信息。</w:t>
            </w:r>
            <w:r>
              <w:rPr>
                <w:rFonts w:ascii="Noto Sans CJK SC" w:hAnsi="Noto Sans CJK SC" w:eastAsia="Noto Sans CJK SC"/>
                <w:b w:val="0"/>
                <w:color w:val="23303C"/>
                <w:sz w:val="15"/>
              </w:rPr>
            </w:r>
          </w:p>
        </w:tc>
      </w:tr>
      <w:tr>
        <w:trPr>
          <w:cantSplit/>
        </w:trPr>
        <w:tc>
          <w:tcPr>
            <w:tcW w:type="dxa" w:w="950"/>
            <w:vAlign w:val="center"/>
            <w:tcMar>
              <w:top w:w="70" w:type="dxa"/>
              <w:start w:w="90" w:type="dxa"/>
              <w:bottom w:w="70" w:type="dxa"/>
              <w:end w:w="90" w:type="dxa"/>
            </w:tcMar>
            <w:shd w:fill="F6F8FA"/>
          </w:tcPr>
          <w:p>
            <w:pPr>
              <w:spacing w:after="0" w:line="274" w:lineRule="auto"/>
            </w:pPr>
            <w:r>
              <w:rPr>
                <w:rFonts w:ascii="Noto Sans CJK SC" w:hAnsi="Noto Sans CJK SC" w:eastAsia="Noto Sans CJK SC"/>
                <w:sz w:val="15"/>
              </w:rPr>
              <w:t>FR04</w:t>
            </w:r>
            <w:r>
              <w:rPr>
                <w:rFonts w:ascii="Noto Sans CJK SC" w:hAnsi="Noto Sans CJK SC" w:eastAsia="Noto Sans CJK SC"/>
                <w:b/>
                <w:color w:val="23303C"/>
                <w:sz w:val="15"/>
              </w:rPr>
            </w:r>
          </w:p>
        </w:tc>
        <w:tc>
          <w:tcPr>
            <w:tcW w:type="dxa" w:w="4536"/>
            <w:vAlign w:val="center"/>
            <w:tcMar>
              <w:top w:w="70" w:type="dxa"/>
              <w:start w:w="90" w:type="dxa"/>
              <w:bottom w:w="70" w:type="dxa"/>
              <w:end w:w="90" w:type="dxa"/>
            </w:tcMar>
            <w:shd w:fill="F6F8FA"/>
          </w:tcPr>
          <w:p>
            <w:pPr>
              <w:spacing w:after="0" w:line="274" w:lineRule="auto"/>
            </w:pPr>
            <w:r>
              <w:rPr>
                <w:rFonts w:ascii="Noto Sans CJK SC" w:hAnsi="Noto Sans CJK SC" w:eastAsia="Noto Sans CJK SC"/>
                <w:sz w:val="15"/>
              </w:rPr>
              <w:t>登记信息与异常检查。系统应将已确认车牌与明确标注的模拟车辆登记数据库比对，并标记未匹配或过期登记、格式异常、黑名单匹配、车辆类型不一致及疑似套牌。</w:t>
            </w:r>
            <w:r>
              <w:rPr>
                <w:rFonts w:ascii="Noto Sans CJK SC" w:hAnsi="Noto Sans CJK SC" w:eastAsia="Noto Sans CJK SC"/>
                <w:b w:val="0"/>
                <w:color w:val="23303C"/>
                <w:sz w:val="15"/>
              </w:rPr>
            </w:r>
          </w:p>
        </w:tc>
        <w:tc>
          <w:tcPr>
            <w:tcW w:type="dxa" w:w="4262"/>
            <w:vAlign w:val="center"/>
            <w:tcMar>
              <w:top w:w="70" w:type="dxa"/>
              <w:start w:w="90" w:type="dxa"/>
              <w:bottom w:w="70" w:type="dxa"/>
              <w:end w:w="90" w:type="dxa"/>
            </w:tcMar>
            <w:shd w:fill="F6F8FA"/>
          </w:tcPr>
          <w:p>
            <w:pPr>
              <w:spacing w:after="0" w:line="274" w:lineRule="auto"/>
            </w:pPr>
            <w:r>
              <w:rPr>
                <w:rFonts w:ascii="Noto Sans CJK SC" w:hAnsi="Noto Sans CJK SC" w:eastAsia="Noto Sans CJK SC"/>
                <w:sz w:val="15"/>
              </w:rPr>
              <w:t>事先准备的测试记录应触发相应异常标记。未匹配车牌仅提示人工审核，不能作为违法证明；疑似套牌只能表达怀疑。</w:t>
            </w:r>
            <w:r>
              <w:rPr>
                <w:rFonts w:ascii="Noto Sans CJK SC" w:hAnsi="Noto Sans CJK SC" w:eastAsia="Noto Sans CJK SC"/>
                <w:b w:val="0"/>
                <w:color w:val="23303C"/>
                <w:sz w:val="15"/>
              </w:rPr>
            </w:r>
          </w:p>
        </w:tc>
      </w:tr>
      <w:tr>
        <w:trPr>
          <w:cantSplit/>
        </w:trPr>
        <w:tc>
          <w:tcPr>
            <w:tcW w:type="dxa" w:w="950"/>
            <w:vAlign w:val="center"/>
            <w:tcMar>
              <w:top w:w="70" w:type="dxa"/>
              <w:start w:w="90" w:type="dxa"/>
              <w:bottom w:w="70" w:type="dxa"/>
              <w:end w:w="90" w:type="dxa"/>
            </w:tcMar>
          </w:tcPr>
          <w:p>
            <w:pPr>
              <w:spacing w:after="0" w:line="274" w:lineRule="auto"/>
            </w:pPr>
            <w:r>
              <w:rPr>
                <w:rFonts w:ascii="Noto Sans CJK SC" w:hAnsi="Noto Sans CJK SC" w:eastAsia="Noto Sans CJK SC"/>
                <w:sz w:val="15"/>
              </w:rPr>
              <w:t>FR05</w:t>
            </w:r>
            <w:r>
              <w:rPr>
                <w:rFonts w:ascii="Noto Sans CJK SC" w:hAnsi="Noto Sans CJK SC" w:eastAsia="Noto Sans CJK SC"/>
                <w:b/>
                <w:color w:val="23303C"/>
                <w:sz w:val="15"/>
              </w:rPr>
            </w:r>
          </w:p>
        </w:tc>
        <w:tc>
          <w:tcPr>
            <w:tcW w:type="dxa" w:w="4536"/>
            <w:vAlign w:val="center"/>
            <w:tcMar>
              <w:top w:w="70" w:type="dxa"/>
              <w:start w:w="90" w:type="dxa"/>
              <w:bottom w:w="70" w:type="dxa"/>
              <w:end w:w="90" w:type="dxa"/>
            </w:tcMar>
          </w:tcPr>
          <w:p>
            <w:pPr>
              <w:spacing w:after="0" w:line="274" w:lineRule="auto"/>
            </w:pPr>
            <w:r>
              <w:rPr>
                <w:rFonts w:ascii="Noto Sans CJK SC" w:hAnsi="Noto Sans CJK SC" w:eastAsia="Noto Sans CJK SC"/>
                <w:sz w:val="15"/>
              </w:rPr>
              <w:t>交通监测。系统应在不依赖车牌识别成功与否的情况下统计预先配置的越线事件，显示车辆总数、随时间变化的车流量，并在已配置的场景中显示车型及车道计数。</w:t>
            </w:r>
            <w:r>
              <w:rPr>
                <w:rFonts w:ascii="Noto Sans CJK SC" w:hAnsi="Noto Sans CJK SC" w:eastAsia="Noto Sans CJK SC"/>
                <w:b w:val="0"/>
                <w:color w:val="23303C"/>
                <w:sz w:val="15"/>
              </w:rPr>
            </w:r>
          </w:p>
        </w:tc>
        <w:tc>
          <w:tcPr>
            <w:tcW w:type="dxa" w:w="4262"/>
            <w:vAlign w:val="center"/>
            <w:tcMar>
              <w:top w:w="70" w:type="dxa"/>
              <w:start w:w="90" w:type="dxa"/>
              <w:bottom w:w="70" w:type="dxa"/>
              <w:end w:w="90" w:type="dxa"/>
            </w:tcMar>
          </w:tcPr>
          <w:p>
            <w:pPr>
              <w:spacing w:after="0" w:line="274" w:lineRule="auto"/>
            </w:pPr>
            <w:r>
              <w:rPr>
                <w:rFonts w:ascii="Noto Sans CJK SC" w:hAnsi="Noto Sans CJK SC" w:eastAsia="Noto Sans CJK SC"/>
                <w:sz w:val="15"/>
              </w:rPr>
              <w:t>即使 OCR 失败，系统仍能输出车辆计数；在每个约定场景中，将计数结果与人工标注的车辆越线事件进行对比。</w:t>
            </w:r>
            <w:r>
              <w:rPr>
                <w:rFonts w:ascii="Noto Sans CJK SC" w:hAnsi="Noto Sans CJK SC" w:eastAsia="Noto Sans CJK SC"/>
                <w:b w:val="0"/>
                <w:color w:val="23303C"/>
                <w:sz w:val="15"/>
              </w:rPr>
            </w:r>
          </w:p>
        </w:tc>
      </w:tr>
      <w:tr>
        <w:trPr>
          <w:cantSplit/>
        </w:trPr>
        <w:tc>
          <w:tcPr>
            <w:tcW w:type="dxa" w:w="950"/>
            <w:vAlign w:val="center"/>
            <w:tcMar>
              <w:top w:w="70" w:type="dxa"/>
              <w:start w:w="90" w:type="dxa"/>
              <w:bottom w:w="70" w:type="dxa"/>
              <w:end w:w="90" w:type="dxa"/>
            </w:tcMar>
            <w:shd w:fill="F6F8FA"/>
          </w:tcPr>
          <w:p>
            <w:pPr>
              <w:spacing w:after="0" w:line="274" w:lineRule="auto"/>
            </w:pPr>
            <w:r>
              <w:rPr>
                <w:rFonts w:ascii="Noto Sans CJK SC" w:hAnsi="Noto Sans CJK SC" w:eastAsia="Noto Sans CJK SC"/>
                <w:sz w:val="15"/>
              </w:rPr>
              <w:t>FR06</w:t>
            </w:r>
            <w:r>
              <w:rPr>
                <w:rFonts w:ascii="Noto Sans CJK SC" w:hAnsi="Noto Sans CJK SC" w:eastAsia="Noto Sans CJK SC"/>
                <w:b/>
                <w:color w:val="23303C"/>
                <w:sz w:val="15"/>
              </w:rPr>
            </w:r>
          </w:p>
        </w:tc>
        <w:tc>
          <w:tcPr>
            <w:tcW w:type="dxa" w:w="4536"/>
            <w:vAlign w:val="center"/>
            <w:tcMar>
              <w:top w:w="70" w:type="dxa"/>
              <w:start w:w="90" w:type="dxa"/>
              <w:bottom w:w="70" w:type="dxa"/>
              <w:end w:w="90" w:type="dxa"/>
            </w:tcMar>
            <w:shd w:fill="F6F8FA"/>
          </w:tcPr>
          <w:p>
            <w:pPr>
              <w:spacing w:after="0" w:line="274" w:lineRule="auto"/>
            </w:pPr>
            <w:r>
              <w:rPr>
                <w:rFonts w:ascii="Noto Sans CJK SC" w:hAnsi="Noto Sans CJK SC" w:eastAsia="Noto Sans CJK SC"/>
                <w:sz w:val="15"/>
              </w:rPr>
              <w:t>警报与证据。系统应针对潜在异常创建可审核的警报，其中包含车辆标识、时间戳、摄像头、警报原因及相关截图或视频位置。</w:t>
            </w:r>
            <w:r>
              <w:rPr>
                <w:rFonts w:ascii="Noto Sans CJK SC" w:hAnsi="Noto Sans CJK SC" w:eastAsia="Noto Sans CJK SC"/>
                <w:b w:val="0"/>
                <w:color w:val="23303C"/>
                <w:sz w:val="15"/>
              </w:rPr>
            </w:r>
          </w:p>
        </w:tc>
        <w:tc>
          <w:tcPr>
            <w:tcW w:type="dxa" w:w="4262"/>
            <w:vAlign w:val="center"/>
            <w:tcMar>
              <w:top w:w="70" w:type="dxa"/>
              <w:start w:w="90" w:type="dxa"/>
              <w:bottom w:w="70" w:type="dxa"/>
              <w:end w:w="90" w:type="dxa"/>
            </w:tcMar>
            <w:shd w:fill="F6F8FA"/>
          </w:tcPr>
          <w:p>
            <w:pPr>
              <w:spacing w:after="0" w:line="274" w:lineRule="auto"/>
            </w:pPr>
            <w:r>
              <w:rPr>
                <w:rFonts w:ascii="Noto Sans CJK SC" w:hAnsi="Noto Sans CJK SC" w:eastAsia="Noto Sans CJK SC"/>
                <w:sz w:val="15"/>
              </w:rPr>
              <w:t>每条警报记录均包含上述字段，并能打开对应证据供审核。</w:t>
            </w:r>
            <w:r>
              <w:rPr>
                <w:rFonts w:ascii="Noto Sans CJK SC" w:hAnsi="Noto Sans CJK SC" w:eastAsia="Noto Sans CJK SC"/>
                <w:b w:val="0"/>
                <w:color w:val="23303C"/>
                <w:sz w:val="15"/>
              </w:rPr>
            </w:r>
          </w:p>
        </w:tc>
      </w:tr>
      <w:tr>
        <w:trPr>
          <w:cantSplit/>
        </w:trPr>
        <w:tc>
          <w:tcPr>
            <w:tcW w:type="dxa" w:w="950"/>
            <w:vAlign w:val="center"/>
            <w:tcMar>
              <w:top w:w="70" w:type="dxa"/>
              <w:start w:w="90" w:type="dxa"/>
              <w:bottom w:w="70" w:type="dxa"/>
              <w:end w:w="90" w:type="dxa"/>
            </w:tcMar>
          </w:tcPr>
          <w:p>
            <w:pPr>
              <w:spacing w:after="0" w:line="274" w:lineRule="auto"/>
            </w:pPr>
            <w:r>
              <w:rPr>
                <w:rFonts w:ascii="Noto Sans CJK SC" w:hAnsi="Noto Sans CJK SC" w:eastAsia="Noto Sans CJK SC"/>
                <w:sz w:val="15"/>
              </w:rPr>
              <w:t>FR07</w:t>
            </w:r>
            <w:r>
              <w:rPr>
                <w:rFonts w:ascii="Noto Sans CJK SC" w:hAnsi="Noto Sans CJK SC" w:eastAsia="Noto Sans CJK SC"/>
                <w:b/>
                <w:color w:val="23303C"/>
                <w:sz w:val="15"/>
              </w:rPr>
            </w:r>
          </w:p>
        </w:tc>
        <w:tc>
          <w:tcPr>
            <w:tcW w:type="dxa" w:w="4536"/>
            <w:vAlign w:val="center"/>
            <w:tcMar>
              <w:top w:w="70" w:type="dxa"/>
              <w:start w:w="90" w:type="dxa"/>
              <w:bottom w:w="70" w:type="dxa"/>
              <w:end w:w="90" w:type="dxa"/>
            </w:tcMar>
          </w:tcPr>
          <w:p>
            <w:pPr>
              <w:spacing w:after="0" w:line="274" w:lineRule="auto"/>
            </w:pPr>
            <w:r>
              <w:rPr>
                <w:rFonts w:ascii="Noto Sans CJK SC" w:hAnsi="Noto Sans CJK SC" w:eastAsia="Noto Sans CJK SC"/>
                <w:sz w:val="15"/>
              </w:rPr>
              <w:t>结果保存、搜索与导出。系统应保存分析结果，支持按时间、车牌、摄像头或事件类型搜索，并将相关记录导出为 CSV 或 JSON 文件。</w:t>
            </w:r>
            <w:r>
              <w:rPr>
                <w:rFonts w:ascii="Noto Sans CJK SC" w:hAnsi="Noto Sans CJK SC" w:eastAsia="Noto Sans CJK SC"/>
                <w:b w:val="0"/>
                <w:color w:val="23303C"/>
                <w:sz w:val="15"/>
              </w:rPr>
            </w:r>
          </w:p>
        </w:tc>
        <w:tc>
          <w:tcPr>
            <w:tcW w:type="dxa" w:w="4262"/>
            <w:vAlign w:val="center"/>
            <w:tcMar>
              <w:top w:w="70" w:type="dxa"/>
              <w:start w:w="90" w:type="dxa"/>
              <w:bottom w:w="70" w:type="dxa"/>
              <w:end w:w="90" w:type="dxa"/>
            </w:tcMar>
          </w:tcPr>
          <w:p>
            <w:pPr>
              <w:spacing w:after="0" w:line="274" w:lineRule="auto"/>
            </w:pPr>
            <w:r>
              <w:rPr>
                <w:rFonts w:ascii="Noto Sans CJK SC" w:hAnsi="Noto Sans CJK SC" w:eastAsia="Noto Sans CJK SC"/>
                <w:sz w:val="15"/>
              </w:rPr>
              <w:t>用户能够使用指定筛选条件检索已保存结果，导出文件应包含对应记录。</w:t>
            </w:r>
            <w:r>
              <w:rPr>
                <w:rFonts w:ascii="Noto Sans CJK SC" w:hAnsi="Noto Sans CJK SC" w:eastAsia="Noto Sans CJK SC"/>
                <w:b w:val="0"/>
                <w:color w:val="23303C"/>
                <w:sz w:val="15"/>
              </w:rPr>
            </w:r>
          </w:p>
        </w:tc>
      </w:tr>
      <w:tr>
        <w:trPr>
          <w:cantSplit/>
        </w:trPr>
        <w:tc>
          <w:tcPr>
            <w:tcW w:type="dxa" w:w="950"/>
            <w:vAlign w:val="center"/>
            <w:tcMar>
              <w:top w:w="70" w:type="dxa"/>
              <w:start w:w="90" w:type="dxa"/>
              <w:bottom w:w="70" w:type="dxa"/>
              <w:end w:w="90" w:type="dxa"/>
            </w:tcMar>
            <w:shd w:fill="F6F8FA"/>
          </w:tcPr>
          <w:p>
            <w:pPr>
              <w:spacing w:after="0" w:line="274" w:lineRule="auto"/>
            </w:pPr>
            <w:r>
              <w:rPr>
                <w:rFonts w:ascii="Noto Sans CJK SC" w:hAnsi="Noto Sans CJK SC" w:eastAsia="Noto Sans CJK SC"/>
                <w:sz w:val="15"/>
              </w:rPr>
              <w:t>FR08</w:t>
            </w:r>
            <w:r>
              <w:rPr>
                <w:rFonts w:ascii="Noto Sans CJK SC" w:hAnsi="Noto Sans CJK SC" w:eastAsia="Noto Sans CJK SC"/>
                <w:b/>
                <w:color w:val="23303C"/>
                <w:sz w:val="15"/>
              </w:rPr>
            </w:r>
          </w:p>
        </w:tc>
        <w:tc>
          <w:tcPr>
            <w:tcW w:type="dxa" w:w="4536"/>
            <w:vAlign w:val="center"/>
            <w:tcMar>
              <w:top w:w="70" w:type="dxa"/>
              <w:start w:w="90" w:type="dxa"/>
              <w:bottom w:w="70" w:type="dxa"/>
              <w:end w:w="90" w:type="dxa"/>
            </w:tcMar>
            <w:shd w:fill="F6F8FA"/>
          </w:tcPr>
          <w:p>
            <w:pPr>
              <w:spacing w:after="0" w:line="274" w:lineRule="auto"/>
            </w:pPr>
            <w:r>
              <w:rPr>
                <w:rFonts w:ascii="Noto Sans CJK SC" w:hAnsi="Noto Sans CJK SC" w:eastAsia="Noto Sans CJK SC"/>
                <w:sz w:val="15"/>
              </w:rPr>
              <w:t>集成界面。系统应提供统一流程，让用户无需修改源代码即可选择输入、执行分析、审核证据并导出结果。</w:t>
            </w:r>
            <w:r>
              <w:rPr>
                <w:rFonts w:ascii="Noto Sans CJK SC" w:hAnsi="Noto Sans CJK SC" w:eastAsia="Noto Sans CJK SC"/>
                <w:b w:val="0"/>
                <w:color w:val="23303C"/>
                <w:sz w:val="15"/>
              </w:rPr>
            </w:r>
          </w:p>
        </w:tc>
        <w:tc>
          <w:tcPr>
            <w:tcW w:type="dxa" w:w="4262"/>
            <w:vAlign w:val="center"/>
            <w:tcMar>
              <w:top w:w="70" w:type="dxa"/>
              <w:start w:w="90" w:type="dxa"/>
              <w:bottom w:w="70" w:type="dxa"/>
              <w:end w:w="90" w:type="dxa"/>
            </w:tcMar>
            <w:shd w:fill="F6F8FA"/>
          </w:tcPr>
          <w:p>
            <w:pPr>
              <w:spacing w:after="0" w:line="274" w:lineRule="auto"/>
            </w:pPr>
            <w:r>
              <w:rPr>
                <w:rFonts w:ascii="Noto Sans CJK SC" w:hAnsi="Noto Sans CJK SC" w:eastAsia="Noto Sans CJK SC"/>
                <w:sz w:val="15"/>
              </w:rPr>
              <w:t>用户仅通过界面即可完成从输入到结果导出的端到端操作。</w:t>
            </w:r>
            <w:r>
              <w:rPr>
                <w:rFonts w:ascii="Noto Sans CJK SC" w:hAnsi="Noto Sans CJK SC" w:eastAsia="Noto Sans CJK SC"/>
                <w:b w:val="0"/>
                <w:color w:val="23303C"/>
                <w:sz w:val="15"/>
              </w:rPr>
            </w:r>
          </w:p>
        </w:tc>
      </w:tr>
      <w:tr>
        <w:trPr>
          <w:cantSplit/>
        </w:trPr>
        <w:tc>
          <w:tcPr>
            <w:tcW w:type="dxa" w:w="950"/>
            <w:vAlign w:val="center"/>
            <w:tcMar>
              <w:top w:w="70" w:type="dxa"/>
              <w:start w:w="90" w:type="dxa"/>
              <w:bottom w:w="70" w:type="dxa"/>
              <w:end w:w="90" w:type="dxa"/>
            </w:tcMar>
          </w:tcPr>
          <w:p>
            <w:pPr>
              <w:spacing w:after="0" w:line="274" w:lineRule="auto"/>
            </w:pPr>
            <w:r>
              <w:rPr>
                <w:rFonts w:ascii="Noto Sans CJK SC" w:hAnsi="Noto Sans CJK SC" w:eastAsia="Noto Sans CJK SC"/>
                <w:sz w:val="15"/>
              </w:rPr>
              <w:t>FR09</w:t>
            </w:r>
            <w:r>
              <w:rPr>
                <w:rFonts w:ascii="Noto Sans CJK SC" w:hAnsi="Noto Sans CJK SC" w:eastAsia="Noto Sans CJK SC"/>
                <w:b/>
                <w:color w:val="23303C"/>
                <w:sz w:val="15"/>
              </w:rPr>
            </w:r>
          </w:p>
        </w:tc>
        <w:tc>
          <w:tcPr>
            <w:tcW w:type="dxa" w:w="4536"/>
            <w:vAlign w:val="center"/>
            <w:tcMar>
              <w:top w:w="70" w:type="dxa"/>
              <w:start w:w="90" w:type="dxa"/>
              <w:bottom w:w="70" w:type="dxa"/>
              <w:end w:w="90" w:type="dxa"/>
            </w:tcMar>
          </w:tcPr>
          <w:p>
            <w:pPr>
              <w:spacing w:after="0" w:line="274" w:lineRule="auto"/>
            </w:pPr>
            <w:r>
              <w:rPr>
                <w:rFonts w:ascii="Noto Sans CJK SC" w:hAnsi="Noto Sans CJK SC" w:eastAsia="Noto Sans CJK SC"/>
                <w:sz w:val="15"/>
              </w:rPr>
              <w:t>AR 演示。系统应在经团队确认的 AR 演示中，将车牌文字及状态信息关联到相应车辆；当目标变化或丢失时，应更新或移除相关标签。</w:t>
            </w:r>
            <w:r>
              <w:rPr>
                <w:rFonts w:ascii="Noto Sans CJK SC" w:hAnsi="Noto Sans CJK SC" w:eastAsia="Noto Sans CJK SC"/>
                <w:b w:val="0"/>
                <w:color w:val="23303C"/>
                <w:sz w:val="15"/>
              </w:rPr>
            </w:r>
          </w:p>
        </w:tc>
        <w:tc>
          <w:tcPr>
            <w:tcW w:type="dxa" w:w="4262"/>
            <w:vAlign w:val="center"/>
            <w:tcMar>
              <w:top w:w="70" w:type="dxa"/>
              <w:start w:w="90" w:type="dxa"/>
              <w:bottom w:w="70" w:type="dxa"/>
              <w:end w:w="90" w:type="dxa"/>
            </w:tcMar>
          </w:tcPr>
          <w:p>
            <w:pPr>
              <w:spacing w:after="0" w:line="274" w:lineRule="auto"/>
            </w:pPr>
            <w:r>
              <w:rPr>
                <w:rFonts w:ascii="Noto Sans CJK SC" w:hAnsi="Noto Sans CJK SC" w:eastAsia="Noto Sans CJK SC"/>
                <w:sz w:val="15"/>
              </w:rPr>
              <w:t>显示的标签应对应正确的被追踪车辆，且不会在目标丢失后错误地附着于其他车辆。AR 平台需先经团队确认。</w:t>
            </w:r>
            <w:r>
              <w:rPr>
                <w:rFonts w:ascii="Noto Sans CJK SC" w:hAnsi="Noto Sans CJK SC" w:eastAsia="Noto Sans CJK SC"/>
                <w:b w:val="0"/>
                <w:color w:val="23303C"/>
                <w:sz w:val="15"/>
              </w:rPr>
            </w:r>
          </w:p>
        </w:tc>
      </w:tr>
    </w:tbl>
    <w:p>
      <w:pPr>
        <w:pStyle w:val="Heading1"/>
        <w:keepNext/>
      </w:pPr>
      <w:r>
        <w:rPr>
          <w:rFonts w:ascii="Noto Sans CJK SC" w:hAnsi="Noto Sans CJK SC" w:eastAsia="Noto Sans CJK SC"/>
        </w:rPr>
        <w:t>3. 进一步建议功能（第二阶段）</w:t>
      </w:r>
    </w:p>
    <w:p>
      <w:pPr>
        <w:spacing w:line="288" w:lineRule="auto"/>
        <w:ind w:left="202" w:hanging="202"/>
      </w:pPr>
      <w:r>
        <w:rPr>
          <w:rFonts w:ascii="Noto Sans CJK SC" w:hAnsi="Noto Sans CJK SC" w:eastAsia="Noto Sans CJK SC"/>
          <w:b/>
        </w:rPr>
        <w:t>• 多场景支持：至少支持两种经小组确认的场景配置，并记录计数线、车道区域及车辆行驶方向。</w:t>
      </w:r>
      <w:r>
        <w:rPr>
          <w:rFonts w:ascii="Noto Sans CJK SC" w:hAnsi="Noto Sans CJK SC" w:eastAsia="Noto Sans CJK SC"/>
        </w:rPr>
      </w:r>
    </w:p>
    <w:p>
      <w:pPr>
        <w:spacing w:line="288" w:lineRule="auto"/>
        <w:ind w:left="202" w:hanging="202"/>
      </w:pPr>
      <w:r>
        <w:rPr>
          <w:rFonts w:ascii="Noto Sans CJK SC" w:hAnsi="Noto Sans CJK SC" w:eastAsia="Noto Sans CJK SC"/>
          <w:b/>
        </w:rPr>
        <w:t>• 人工审核：允许审核人员将异常警报标记为“待处理”“已确认”或“已驳回”，同时保存原始证据和审核理由。</w:t>
      </w:r>
      <w:r>
        <w:rPr>
          <w:rFonts w:ascii="Noto Sans CJK SC" w:hAnsi="Noto Sans CJK SC" w:eastAsia="Noto Sans CJK SC"/>
        </w:rPr>
      </w:r>
    </w:p>
    <w:p>
      <w:pPr>
        <w:spacing w:line="288" w:lineRule="auto"/>
        <w:ind w:left="202" w:hanging="202"/>
      </w:pPr>
      <w:r>
        <w:rPr>
          <w:rFonts w:ascii="Noto Sans CJK SC" w:hAnsi="Noto Sans CJK SC" w:eastAsia="Noto Sans CJK SC"/>
          <w:b/>
        </w:rPr>
        <w:t>• 任务与错误记录完整性：记录已完成、已停止及失败的分析任务；在可行时保留有效的部分结果，并明确提示视频损坏或缺少模型等情况。</w:t>
      </w:r>
      <w:r>
        <w:rPr>
          <w:rFonts w:ascii="Noto Sans CJK SC" w:hAnsi="Noto Sans CJK SC" w:eastAsia="Noto Sans CJK SC"/>
        </w:rPr>
      </w:r>
    </w:p>
    <w:p>
      <w:pPr>
        <w:spacing w:line="288" w:lineRule="auto"/>
        <w:ind w:left="202" w:hanging="202"/>
      </w:pPr>
      <w:r>
        <w:rPr>
          <w:rFonts w:ascii="Noto Sans CJK SC" w:hAnsi="Noto Sans CJK SC" w:eastAsia="Noto Sans CJK SC"/>
          <w:b/>
        </w:rPr>
        <w:t>• 可复现运行：提供安装配置说明、模型信息及示例输入，确保其他组员能够在另一台电脑上运行完整流程。</w:t>
      </w:r>
      <w:r>
        <w:rPr>
          <w:rFonts w:ascii="Noto Sans CJK SC" w:hAnsi="Noto Sans CJK SC" w:eastAsia="Noto Sans CJK SC"/>
        </w:rPr>
      </w:r>
    </w:p>
    <w:p>
      <w:pPr>
        <w:pStyle w:val="Heading1"/>
        <w:keepNext/>
      </w:pPr>
      <w:r>
        <w:rPr>
          <w:rFonts w:ascii="Noto Sans CJK SC" w:hAnsi="Noto Sans CJK SC" w:eastAsia="Noto Sans CJK SC"/>
        </w:rPr>
        <w:t>4. 范围边界及待确认事项</w:t>
      </w:r>
    </w:p>
    <w:p>
      <w:pPr>
        <w:spacing w:line="288" w:lineRule="auto"/>
      </w:pPr>
      <w:r>
        <w:rPr>
          <w:rFonts w:ascii="Noto Sans CJK SC" w:hAnsi="Noto Sans CJK SC" w:eastAsia="Noto Sans CJK SC"/>
        </w:rPr>
        <w:t>所有车辆登记信息必须明确标注为“模拟数据”。数据库不匹配只能作为需要人工审核的提示，不能当作违法证据。应区分同一车辆的重复出现与不同车辆使用同一车牌的情况。团队还需确认“AR”究竟指普通视频信息叠加，还是移动端／空间增强现实。</w:t>
      </w:r>
    </w:p>
    <w:p>
      <w:pPr>
        <w:spacing w:line="288" w:lineRule="auto"/>
      </w:pPr>
      <w:r>
        <w:rPr>
          <w:rFonts w:ascii="Noto Sans CJK SC" w:hAnsi="Noto Sans CJK SC" w:eastAsia="Noto Sans CJK SC"/>
        </w:rPr>
        <w:t>在最终确定需求前，团队需确认：主要摄像头场景、离线视频还是实时视频输入、AR 展示平台、模拟数据库覆盖范围、功能负责人，以及可量化的验收标准。除非另行批准，否则政府数据库对接、完整的原生移动应用、危险驾驶行为检测、交通拥堵预测及生成式 AI 不属于建议的初期范围。</w:t>
      </w:r>
    </w:p>
    <w:p>
      <w:pPr>
        <w:pStyle w:val="Heading1"/>
        <w:keepNext/>
      </w:pPr>
      <w:r>
        <w:rPr>
          <w:rFonts w:ascii="Noto Sans CJK SC" w:hAnsi="Noto Sans CJK SC" w:eastAsia="Noto Sans CJK SC"/>
        </w:rPr>
        <w:t>5. 可选创新方向与评估</w:t>
      </w:r>
    </w:p>
    <w:p>
      <w:pPr>
        <w:spacing w:line="288" w:lineRule="auto"/>
      </w:pPr>
      <w:r>
        <w:rPr>
          <w:rFonts w:ascii="Noto Sans CJK SC" w:hAnsi="Noto Sans CJK SC" w:eastAsia="Noto Sans CJK SC"/>
        </w:rPr>
        <w:t>原提案建议以多证据异常验证（IN01）作为主要研究拓展方向，以可解释的 AR 证据审核（IN02）作为辅助方向。这些是可选创新，不属于额外批准的必需功能。评估应在相互独立的普通及困难测试视频上进行，关注识别精确率与覆盖率、车牌完全匹配率、车辆计数误差、规则判断结果、处理速度及系统稳定性。</w:t>
      </w:r>
    </w:p>
    <w:sectPr w:rsidR="00FC693F" w:rsidRPr="0006063C" w:rsidSect="00034616">
      <w:footerReference w:type="default" r:id="rId9"/>
      <w:pgSz w:w="11909" w:h="16834"/>
      <w:pgMar w:top="936" w:right="1037" w:bottom="936" w:left="1037" w:header="36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SC" w:hAnsi="Noto Sans CJK SC" w:eastAsia="Noto Sans CJK SC"/>
        <w:color w:val="7D878C"/>
        <w:sz w:val="16"/>
      </w:rPr>
      <w:t>建议稿 • 供小组与导师审核</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ans CJK SC" w:hAnsi="Noto Sans CJK SC" w:eastAsia="Noto Sans CJK SC"/>
      <w:color w:val="28303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Noto Sans CJK SC" w:hAnsi="Noto Sans CJK SC" w:eastAsia="Noto Sans CJK SC"/>
      <w:b/>
      <w:bCs/>
      <w:color w:val="154164"/>
      <w:sz w:val="2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154164"/>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Noto Sans CJK SC" w:hAnsi="Noto Sans CJK SC" w:eastAsia="Noto Sans CJK SC"/>
      <w:b/>
      <w:color w:val="154164"/>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